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eastAsiaTheme="minorEastAsia" w:hAnsi="Times New Roman" w:cs="Times New Roman"/>
          <w:b w:val="0"/>
          <w:bCs w:val="0"/>
          <w:color w:val="auto"/>
          <w:sz w:val="24"/>
          <w:szCs w:val="24"/>
          <w:lang w:val="en-GB" w:eastAsia="zh-CN"/>
        </w:rPr>
        <w:id w:val="-437991998"/>
        <w:docPartObj>
          <w:docPartGallery w:val="Table of Contents"/>
          <w:docPartUnique/>
        </w:docPartObj>
      </w:sdtPr>
      <w:sdtEndPr>
        <w:rPr>
          <w:noProof/>
        </w:rPr>
      </w:sdtEndPr>
      <w:sdtContent>
        <w:p w14:paraId="7005424A" w14:textId="77777777" w:rsidR="0009680C" w:rsidRPr="00872318" w:rsidRDefault="0009680C" w:rsidP="0009680C">
          <w:pPr>
            <w:pStyle w:val="TOCHeading"/>
            <w:spacing w:line="480" w:lineRule="auto"/>
            <w:jc w:val="center"/>
            <w:rPr>
              <w:rFonts w:ascii="Times New Roman" w:hAnsi="Times New Roman" w:cs="Times New Roman"/>
              <w:color w:val="auto"/>
              <w:sz w:val="24"/>
              <w:szCs w:val="24"/>
            </w:rPr>
          </w:pPr>
          <w:r w:rsidRPr="00872318">
            <w:rPr>
              <w:rFonts w:ascii="Times New Roman" w:hAnsi="Times New Roman" w:cs="Times New Roman"/>
              <w:color w:val="auto"/>
              <w:sz w:val="24"/>
              <w:szCs w:val="24"/>
            </w:rPr>
            <w:t>‘JEWISH HORROR’: DEFINING A NEW SUB-GENRE</w:t>
          </w:r>
          <w:r>
            <w:rPr>
              <w:rFonts w:ascii="Times New Roman" w:hAnsi="Times New Roman" w:cs="Times New Roman"/>
              <w:color w:val="auto"/>
              <w:sz w:val="24"/>
              <w:szCs w:val="24"/>
            </w:rPr>
            <w:br/>
          </w:r>
          <w:r w:rsidRPr="00872318">
            <w:rPr>
              <w:rFonts w:ascii="Times New Roman" w:hAnsi="Times New Roman" w:cs="Times New Roman"/>
              <w:sz w:val="24"/>
              <w:szCs w:val="24"/>
            </w:rPr>
            <w:t>Table of Contents</w:t>
          </w:r>
        </w:p>
        <w:p w14:paraId="14CCFCB5" w14:textId="77777777" w:rsidR="0009680C" w:rsidRDefault="0009680C" w:rsidP="0009680C">
          <w:pPr>
            <w:pStyle w:val="TOC1"/>
            <w:rPr>
              <w:rFonts w:eastAsiaTheme="minorEastAsia" w:cstheme="minorBidi"/>
              <w:b w:val="0"/>
              <w:bCs w:val="0"/>
              <w:caps w:val="0"/>
              <w:noProof/>
              <w:sz w:val="24"/>
              <w:szCs w:val="24"/>
              <w:u w:val="none"/>
              <w:lang w:eastAsia="en-GB"/>
            </w:rPr>
          </w:pPr>
          <w:r w:rsidRPr="00872318">
            <w:rPr>
              <w:rFonts w:ascii="Times New Roman" w:hAnsi="Times New Roman" w:cs="Times New Roman"/>
              <w:sz w:val="24"/>
              <w:szCs w:val="24"/>
            </w:rPr>
            <w:fldChar w:fldCharType="begin"/>
          </w:r>
          <w:r w:rsidRPr="00872318">
            <w:rPr>
              <w:rFonts w:ascii="Times New Roman" w:hAnsi="Times New Roman" w:cs="Times New Roman"/>
              <w:sz w:val="24"/>
              <w:szCs w:val="24"/>
            </w:rPr>
            <w:instrText xml:space="preserve"> TOC \o "1-3" \h \z \u </w:instrText>
          </w:r>
          <w:r w:rsidRPr="00872318">
            <w:rPr>
              <w:rFonts w:ascii="Times New Roman" w:hAnsi="Times New Roman" w:cs="Times New Roman"/>
              <w:sz w:val="24"/>
              <w:szCs w:val="24"/>
            </w:rPr>
            <w:fldChar w:fldCharType="separate"/>
          </w:r>
          <w:hyperlink w:anchor="_Toc51249389" w:history="1">
            <w:r w:rsidRPr="00FE7E67">
              <w:rPr>
                <w:rStyle w:val="Hyperlink"/>
                <w:rFonts w:ascii="Times New Roman" w:hAnsi="Times New Roman" w:cs="Times New Roman"/>
                <w:noProof/>
                <w:lang w:val="en-US"/>
              </w:rPr>
              <w:t>Acknowledgements</w:t>
            </w:r>
            <w:r>
              <w:rPr>
                <w:noProof/>
                <w:webHidden/>
              </w:rPr>
              <w:tab/>
            </w:r>
            <w:r>
              <w:rPr>
                <w:noProof/>
                <w:webHidden/>
              </w:rPr>
              <w:fldChar w:fldCharType="begin"/>
            </w:r>
            <w:r>
              <w:rPr>
                <w:noProof/>
                <w:webHidden/>
              </w:rPr>
              <w:instrText xml:space="preserve"> PAGEREF _Toc51249389 \h </w:instrText>
            </w:r>
            <w:r>
              <w:rPr>
                <w:noProof/>
                <w:webHidden/>
              </w:rPr>
            </w:r>
            <w:r>
              <w:rPr>
                <w:noProof/>
                <w:webHidden/>
              </w:rPr>
              <w:fldChar w:fldCharType="separate"/>
            </w:r>
            <w:r>
              <w:rPr>
                <w:noProof/>
                <w:webHidden/>
              </w:rPr>
              <w:t>5</w:t>
            </w:r>
            <w:r>
              <w:rPr>
                <w:noProof/>
                <w:webHidden/>
              </w:rPr>
              <w:fldChar w:fldCharType="end"/>
            </w:r>
          </w:hyperlink>
        </w:p>
        <w:p w14:paraId="17076DEB" w14:textId="77777777" w:rsidR="0009680C" w:rsidRDefault="0009680C" w:rsidP="0009680C">
          <w:pPr>
            <w:pStyle w:val="TOC1"/>
            <w:rPr>
              <w:rFonts w:eastAsiaTheme="minorEastAsia" w:cstheme="minorBidi"/>
              <w:b w:val="0"/>
              <w:bCs w:val="0"/>
              <w:caps w:val="0"/>
              <w:noProof/>
              <w:sz w:val="24"/>
              <w:szCs w:val="24"/>
              <w:u w:val="none"/>
              <w:lang w:eastAsia="en-GB"/>
            </w:rPr>
          </w:pPr>
          <w:hyperlink w:anchor="_Toc51249390" w:history="1">
            <w:r w:rsidRPr="00FE7E67">
              <w:rPr>
                <w:rStyle w:val="Hyperlink"/>
                <w:rFonts w:ascii="Times New Roman" w:hAnsi="Times New Roman" w:cs="Times New Roman"/>
                <w:noProof/>
                <w:lang w:val="en-US"/>
              </w:rPr>
              <w:t>Introduction: ‘The Power of Christ Compels You!’</w:t>
            </w:r>
            <w:r>
              <w:rPr>
                <w:noProof/>
                <w:webHidden/>
              </w:rPr>
              <w:tab/>
            </w:r>
            <w:r>
              <w:rPr>
                <w:noProof/>
                <w:webHidden/>
              </w:rPr>
              <w:fldChar w:fldCharType="begin"/>
            </w:r>
            <w:r>
              <w:rPr>
                <w:noProof/>
                <w:webHidden/>
              </w:rPr>
              <w:instrText xml:space="preserve"> PAGEREF _Toc51249390 \h </w:instrText>
            </w:r>
            <w:r>
              <w:rPr>
                <w:noProof/>
                <w:webHidden/>
              </w:rPr>
            </w:r>
            <w:r>
              <w:rPr>
                <w:noProof/>
                <w:webHidden/>
              </w:rPr>
              <w:fldChar w:fldCharType="separate"/>
            </w:r>
            <w:r>
              <w:rPr>
                <w:noProof/>
                <w:webHidden/>
              </w:rPr>
              <w:t>6</w:t>
            </w:r>
            <w:r>
              <w:rPr>
                <w:noProof/>
                <w:webHidden/>
              </w:rPr>
              <w:fldChar w:fldCharType="end"/>
            </w:r>
          </w:hyperlink>
        </w:p>
        <w:p w14:paraId="131092C3"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391" w:history="1">
            <w:r w:rsidRPr="00FE7E67">
              <w:rPr>
                <w:rStyle w:val="Hyperlink"/>
                <w:rFonts w:ascii="Times New Roman" w:hAnsi="Times New Roman" w:cs="Times New Roman"/>
                <w:noProof/>
                <w:lang w:val="en-US"/>
              </w:rPr>
              <w:t>A Conspicuous Absence</w:t>
            </w:r>
            <w:r>
              <w:rPr>
                <w:noProof/>
                <w:webHidden/>
              </w:rPr>
              <w:tab/>
            </w:r>
            <w:r>
              <w:rPr>
                <w:noProof/>
                <w:webHidden/>
              </w:rPr>
              <w:fldChar w:fldCharType="begin"/>
            </w:r>
            <w:r>
              <w:rPr>
                <w:noProof/>
                <w:webHidden/>
              </w:rPr>
              <w:instrText xml:space="preserve"> PAGEREF _Toc51249391 \h </w:instrText>
            </w:r>
            <w:r>
              <w:rPr>
                <w:noProof/>
                <w:webHidden/>
              </w:rPr>
            </w:r>
            <w:r>
              <w:rPr>
                <w:noProof/>
                <w:webHidden/>
              </w:rPr>
              <w:fldChar w:fldCharType="separate"/>
            </w:r>
            <w:r>
              <w:rPr>
                <w:noProof/>
                <w:webHidden/>
              </w:rPr>
              <w:t>8</w:t>
            </w:r>
            <w:r>
              <w:rPr>
                <w:noProof/>
                <w:webHidden/>
              </w:rPr>
              <w:fldChar w:fldCharType="end"/>
            </w:r>
          </w:hyperlink>
        </w:p>
        <w:p w14:paraId="7DDAF3C4" w14:textId="77777777" w:rsidR="0009680C" w:rsidRDefault="0009680C" w:rsidP="0009680C">
          <w:pPr>
            <w:pStyle w:val="TOC1"/>
            <w:rPr>
              <w:rFonts w:eastAsiaTheme="minorEastAsia" w:cstheme="minorBidi"/>
              <w:b w:val="0"/>
              <w:bCs w:val="0"/>
              <w:caps w:val="0"/>
              <w:noProof/>
              <w:sz w:val="24"/>
              <w:szCs w:val="24"/>
              <w:u w:val="none"/>
              <w:lang w:eastAsia="en-GB"/>
            </w:rPr>
          </w:pPr>
          <w:hyperlink w:anchor="_Toc51249392" w:history="1">
            <w:r w:rsidRPr="00FE7E67">
              <w:rPr>
                <w:rStyle w:val="Hyperlink"/>
                <w:rFonts w:ascii="Times New Roman" w:hAnsi="Times New Roman" w:cs="Times New Roman"/>
                <w:noProof/>
                <w:lang w:val="en-US"/>
              </w:rPr>
              <w:t>Chapter One: Franz Kafka</w:t>
            </w:r>
            <w:r>
              <w:rPr>
                <w:noProof/>
                <w:webHidden/>
              </w:rPr>
              <w:tab/>
            </w:r>
            <w:r>
              <w:rPr>
                <w:noProof/>
                <w:webHidden/>
              </w:rPr>
              <w:fldChar w:fldCharType="begin"/>
            </w:r>
            <w:r>
              <w:rPr>
                <w:noProof/>
                <w:webHidden/>
              </w:rPr>
              <w:instrText xml:space="preserve"> PAGEREF _Toc51249392 \h </w:instrText>
            </w:r>
            <w:r>
              <w:rPr>
                <w:noProof/>
                <w:webHidden/>
              </w:rPr>
            </w:r>
            <w:r>
              <w:rPr>
                <w:noProof/>
                <w:webHidden/>
              </w:rPr>
              <w:fldChar w:fldCharType="separate"/>
            </w:r>
            <w:r>
              <w:rPr>
                <w:noProof/>
                <w:webHidden/>
              </w:rPr>
              <w:t>10</w:t>
            </w:r>
            <w:r>
              <w:rPr>
                <w:noProof/>
                <w:webHidden/>
              </w:rPr>
              <w:fldChar w:fldCharType="end"/>
            </w:r>
          </w:hyperlink>
        </w:p>
        <w:p w14:paraId="53C6977E"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393" w:history="1">
            <w:r w:rsidRPr="00FE7E67">
              <w:rPr>
                <w:rStyle w:val="Hyperlink"/>
                <w:rFonts w:ascii="Times New Roman" w:hAnsi="Times New Roman" w:cs="Times New Roman"/>
                <w:noProof/>
                <w:lang w:val="en-US"/>
              </w:rPr>
              <w:t>On Defining a ‘Jewish’ Sensibility</w:t>
            </w:r>
            <w:r>
              <w:rPr>
                <w:noProof/>
                <w:webHidden/>
              </w:rPr>
              <w:tab/>
            </w:r>
            <w:r>
              <w:rPr>
                <w:noProof/>
                <w:webHidden/>
              </w:rPr>
              <w:fldChar w:fldCharType="begin"/>
            </w:r>
            <w:r>
              <w:rPr>
                <w:noProof/>
                <w:webHidden/>
              </w:rPr>
              <w:instrText xml:space="preserve"> PAGEREF _Toc51249393 \h </w:instrText>
            </w:r>
            <w:r>
              <w:rPr>
                <w:noProof/>
                <w:webHidden/>
              </w:rPr>
            </w:r>
            <w:r>
              <w:rPr>
                <w:noProof/>
                <w:webHidden/>
              </w:rPr>
              <w:fldChar w:fldCharType="separate"/>
            </w:r>
            <w:r>
              <w:rPr>
                <w:noProof/>
                <w:webHidden/>
              </w:rPr>
              <w:t>10</w:t>
            </w:r>
            <w:r>
              <w:rPr>
                <w:noProof/>
                <w:webHidden/>
              </w:rPr>
              <w:fldChar w:fldCharType="end"/>
            </w:r>
          </w:hyperlink>
        </w:p>
        <w:p w14:paraId="04AEAF31"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394" w:history="1">
            <w:r w:rsidRPr="00FE7E67">
              <w:rPr>
                <w:rStyle w:val="Hyperlink"/>
                <w:rFonts w:ascii="Times New Roman" w:hAnsi="Times New Roman" w:cs="Times New Roman"/>
                <w:noProof/>
                <w:lang w:val="en-US"/>
              </w:rPr>
              <w:t>The Horror of ‘The Metamorphosis’</w:t>
            </w:r>
            <w:r>
              <w:rPr>
                <w:noProof/>
                <w:webHidden/>
              </w:rPr>
              <w:tab/>
            </w:r>
            <w:r>
              <w:rPr>
                <w:noProof/>
                <w:webHidden/>
              </w:rPr>
              <w:fldChar w:fldCharType="begin"/>
            </w:r>
            <w:r>
              <w:rPr>
                <w:noProof/>
                <w:webHidden/>
              </w:rPr>
              <w:instrText xml:space="preserve"> PAGEREF _Toc51249394 \h </w:instrText>
            </w:r>
            <w:r>
              <w:rPr>
                <w:noProof/>
                <w:webHidden/>
              </w:rPr>
            </w:r>
            <w:r>
              <w:rPr>
                <w:noProof/>
                <w:webHidden/>
              </w:rPr>
              <w:fldChar w:fldCharType="separate"/>
            </w:r>
            <w:r>
              <w:rPr>
                <w:noProof/>
                <w:webHidden/>
              </w:rPr>
              <w:t>12</w:t>
            </w:r>
            <w:r>
              <w:rPr>
                <w:noProof/>
                <w:webHidden/>
              </w:rPr>
              <w:fldChar w:fldCharType="end"/>
            </w:r>
          </w:hyperlink>
        </w:p>
        <w:p w14:paraId="3C83AC4A"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395" w:history="1">
            <w:r w:rsidRPr="00FE7E67">
              <w:rPr>
                <w:rStyle w:val="Hyperlink"/>
                <w:rFonts w:ascii="Times New Roman" w:hAnsi="Times New Roman" w:cs="Times New Roman"/>
                <w:noProof/>
                <w:lang w:val="en-US"/>
              </w:rPr>
              <w:t>Lost in Translation</w:t>
            </w:r>
            <w:r>
              <w:rPr>
                <w:noProof/>
                <w:webHidden/>
              </w:rPr>
              <w:tab/>
            </w:r>
            <w:r>
              <w:rPr>
                <w:noProof/>
                <w:webHidden/>
              </w:rPr>
              <w:fldChar w:fldCharType="begin"/>
            </w:r>
            <w:r>
              <w:rPr>
                <w:noProof/>
                <w:webHidden/>
              </w:rPr>
              <w:instrText xml:space="preserve"> PAGEREF _Toc51249395 \h </w:instrText>
            </w:r>
            <w:r>
              <w:rPr>
                <w:noProof/>
                <w:webHidden/>
              </w:rPr>
            </w:r>
            <w:r>
              <w:rPr>
                <w:noProof/>
                <w:webHidden/>
              </w:rPr>
              <w:fldChar w:fldCharType="separate"/>
            </w:r>
            <w:r>
              <w:rPr>
                <w:noProof/>
                <w:webHidden/>
              </w:rPr>
              <w:t>20</w:t>
            </w:r>
            <w:r>
              <w:rPr>
                <w:noProof/>
                <w:webHidden/>
              </w:rPr>
              <w:fldChar w:fldCharType="end"/>
            </w:r>
          </w:hyperlink>
        </w:p>
        <w:p w14:paraId="22756348" w14:textId="77777777" w:rsidR="0009680C" w:rsidRDefault="0009680C" w:rsidP="0009680C">
          <w:pPr>
            <w:pStyle w:val="TOC1"/>
            <w:rPr>
              <w:rFonts w:eastAsiaTheme="minorEastAsia" w:cstheme="minorBidi"/>
              <w:b w:val="0"/>
              <w:bCs w:val="0"/>
              <w:caps w:val="0"/>
              <w:noProof/>
              <w:sz w:val="24"/>
              <w:szCs w:val="24"/>
              <w:u w:val="none"/>
              <w:lang w:eastAsia="en-GB"/>
            </w:rPr>
          </w:pPr>
          <w:hyperlink w:anchor="_Toc51249396" w:history="1">
            <w:r w:rsidRPr="00FE7E67">
              <w:rPr>
                <w:rStyle w:val="Hyperlink"/>
                <w:rFonts w:ascii="Times New Roman" w:hAnsi="Times New Roman" w:cs="Times New Roman"/>
                <w:noProof/>
                <w:lang w:val="en-US"/>
              </w:rPr>
              <w:t>Chapter Two: Demon (2015)</w:t>
            </w:r>
            <w:r>
              <w:rPr>
                <w:noProof/>
                <w:webHidden/>
              </w:rPr>
              <w:tab/>
            </w:r>
            <w:r>
              <w:rPr>
                <w:noProof/>
                <w:webHidden/>
              </w:rPr>
              <w:fldChar w:fldCharType="begin"/>
            </w:r>
            <w:r>
              <w:rPr>
                <w:noProof/>
                <w:webHidden/>
              </w:rPr>
              <w:instrText xml:space="preserve"> PAGEREF _Toc51249396 \h </w:instrText>
            </w:r>
            <w:r>
              <w:rPr>
                <w:noProof/>
                <w:webHidden/>
              </w:rPr>
            </w:r>
            <w:r>
              <w:rPr>
                <w:noProof/>
                <w:webHidden/>
              </w:rPr>
              <w:fldChar w:fldCharType="separate"/>
            </w:r>
            <w:r>
              <w:rPr>
                <w:noProof/>
                <w:webHidden/>
              </w:rPr>
              <w:t>24</w:t>
            </w:r>
            <w:r>
              <w:rPr>
                <w:noProof/>
                <w:webHidden/>
              </w:rPr>
              <w:fldChar w:fldCharType="end"/>
            </w:r>
          </w:hyperlink>
        </w:p>
        <w:p w14:paraId="0C6E972D"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397" w:history="1">
            <w:r w:rsidRPr="00FE7E67">
              <w:rPr>
                <w:rStyle w:val="Hyperlink"/>
                <w:rFonts w:ascii="Times New Roman" w:hAnsi="Times New Roman" w:cs="Times New Roman"/>
                <w:noProof/>
                <w:lang w:val="en-US"/>
              </w:rPr>
              <w:t>Jewish Monsters</w:t>
            </w:r>
            <w:r>
              <w:rPr>
                <w:noProof/>
                <w:webHidden/>
              </w:rPr>
              <w:tab/>
            </w:r>
            <w:r>
              <w:rPr>
                <w:noProof/>
                <w:webHidden/>
              </w:rPr>
              <w:fldChar w:fldCharType="begin"/>
            </w:r>
            <w:r>
              <w:rPr>
                <w:noProof/>
                <w:webHidden/>
              </w:rPr>
              <w:instrText xml:space="preserve"> PAGEREF _Toc51249397 \h </w:instrText>
            </w:r>
            <w:r>
              <w:rPr>
                <w:noProof/>
                <w:webHidden/>
              </w:rPr>
            </w:r>
            <w:r>
              <w:rPr>
                <w:noProof/>
                <w:webHidden/>
              </w:rPr>
              <w:fldChar w:fldCharType="separate"/>
            </w:r>
            <w:r>
              <w:rPr>
                <w:noProof/>
                <w:webHidden/>
              </w:rPr>
              <w:t>24</w:t>
            </w:r>
            <w:r>
              <w:rPr>
                <w:noProof/>
                <w:webHidden/>
              </w:rPr>
              <w:fldChar w:fldCharType="end"/>
            </w:r>
          </w:hyperlink>
        </w:p>
        <w:p w14:paraId="09AA60E8"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398" w:history="1">
            <w:r w:rsidRPr="00FE7E67">
              <w:rPr>
                <w:rStyle w:val="Hyperlink"/>
                <w:rFonts w:ascii="Times New Roman" w:hAnsi="Times New Roman" w:cs="Times New Roman"/>
                <w:noProof/>
                <w:lang w:val="en-US"/>
              </w:rPr>
              <w:t>Haunting</w:t>
            </w:r>
            <w:r>
              <w:rPr>
                <w:noProof/>
                <w:webHidden/>
              </w:rPr>
              <w:tab/>
            </w:r>
            <w:r>
              <w:rPr>
                <w:noProof/>
                <w:webHidden/>
              </w:rPr>
              <w:fldChar w:fldCharType="begin"/>
            </w:r>
            <w:r>
              <w:rPr>
                <w:noProof/>
                <w:webHidden/>
              </w:rPr>
              <w:instrText xml:space="preserve"> PAGEREF _Toc51249398 \h </w:instrText>
            </w:r>
            <w:r>
              <w:rPr>
                <w:noProof/>
                <w:webHidden/>
              </w:rPr>
            </w:r>
            <w:r>
              <w:rPr>
                <w:noProof/>
                <w:webHidden/>
              </w:rPr>
              <w:fldChar w:fldCharType="separate"/>
            </w:r>
            <w:r>
              <w:rPr>
                <w:noProof/>
                <w:webHidden/>
              </w:rPr>
              <w:t>26</w:t>
            </w:r>
            <w:r>
              <w:rPr>
                <w:noProof/>
                <w:webHidden/>
              </w:rPr>
              <w:fldChar w:fldCharType="end"/>
            </w:r>
          </w:hyperlink>
        </w:p>
        <w:p w14:paraId="685469AA"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399" w:history="1">
            <w:r w:rsidRPr="00FE7E67">
              <w:rPr>
                <w:rStyle w:val="Hyperlink"/>
                <w:rFonts w:ascii="Times New Roman" w:hAnsi="Times New Roman" w:cs="Times New Roman"/>
                <w:noProof/>
                <w:lang w:val="en-US"/>
              </w:rPr>
              <w:t>The Return of the Repressed</w:t>
            </w:r>
            <w:r>
              <w:rPr>
                <w:noProof/>
                <w:webHidden/>
              </w:rPr>
              <w:tab/>
            </w:r>
            <w:r>
              <w:rPr>
                <w:noProof/>
                <w:webHidden/>
              </w:rPr>
              <w:fldChar w:fldCharType="begin"/>
            </w:r>
            <w:r>
              <w:rPr>
                <w:noProof/>
                <w:webHidden/>
              </w:rPr>
              <w:instrText xml:space="preserve"> PAGEREF _Toc51249399 \h </w:instrText>
            </w:r>
            <w:r>
              <w:rPr>
                <w:noProof/>
                <w:webHidden/>
              </w:rPr>
            </w:r>
            <w:r>
              <w:rPr>
                <w:noProof/>
                <w:webHidden/>
              </w:rPr>
              <w:fldChar w:fldCharType="separate"/>
            </w:r>
            <w:r>
              <w:rPr>
                <w:noProof/>
                <w:webHidden/>
              </w:rPr>
              <w:t>29</w:t>
            </w:r>
            <w:r>
              <w:rPr>
                <w:noProof/>
                <w:webHidden/>
              </w:rPr>
              <w:fldChar w:fldCharType="end"/>
            </w:r>
          </w:hyperlink>
        </w:p>
        <w:p w14:paraId="0966803E" w14:textId="77777777" w:rsidR="0009680C" w:rsidRDefault="0009680C" w:rsidP="0009680C">
          <w:pPr>
            <w:pStyle w:val="TOC1"/>
            <w:rPr>
              <w:rFonts w:eastAsiaTheme="minorEastAsia" w:cstheme="minorBidi"/>
              <w:b w:val="0"/>
              <w:bCs w:val="0"/>
              <w:caps w:val="0"/>
              <w:noProof/>
              <w:sz w:val="24"/>
              <w:szCs w:val="24"/>
              <w:u w:val="none"/>
              <w:lang w:eastAsia="en-GB"/>
            </w:rPr>
          </w:pPr>
          <w:hyperlink w:anchor="_Toc51249400" w:history="1">
            <w:r w:rsidRPr="00FE7E67">
              <w:rPr>
                <w:rStyle w:val="Hyperlink"/>
                <w:rFonts w:ascii="Times New Roman" w:hAnsi="Times New Roman" w:cs="Times New Roman"/>
                <w:noProof/>
              </w:rPr>
              <w:t>Chapter Three: Rosemary’s Baby</w:t>
            </w:r>
            <w:r>
              <w:rPr>
                <w:noProof/>
                <w:webHidden/>
              </w:rPr>
              <w:tab/>
            </w:r>
            <w:r>
              <w:rPr>
                <w:noProof/>
                <w:webHidden/>
              </w:rPr>
              <w:fldChar w:fldCharType="begin"/>
            </w:r>
            <w:r>
              <w:rPr>
                <w:noProof/>
                <w:webHidden/>
              </w:rPr>
              <w:instrText xml:space="preserve"> PAGEREF _Toc51249400 \h </w:instrText>
            </w:r>
            <w:r>
              <w:rPr>
                <w:noProof/>
                <w:webHidden/>
              </w:rPr>
            </w:r>
            <w:r>
              <w:rPr>
                <w:noProof/>
                <w:webHidden/>
              </w:rPr>
              <w:fldChar w:fldCharType="separate"/>
            </w:r>
            <w:r>
              <w:rPr>
                <w:noProof/>
                <w:webHidden/>
              </w:rPr>
              <w:t>34</w:t>
            </w:r>
            <w:r>
              <w:rPr>
                <w:noProof/>
                <w:webHidden/>
              </w:rPr>
              <w:fldChar w:fldCharType="end"/>
            </w:r>
          </w:hyperlink>
        </w:p>
        <w:p w14:paraId="3C528A10"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401" w:history="1">
            <w:r w:rsidRPr="00FE7E67">
              <w:rPr>
                <w:rStyle w:val="Hyperlink"/>
                <w:rFonts w:ascii="Times New Roman" w:hAnsi="Times New Roman" w:cs="Times New Roman"/>
                <w:noProof/>
              </w:rPr>
              <w:t>‘Catholic Drag’</w:t>
            </w:r>
            <w:r>
              <w:rPr>
                <w:noProof/>
                <w:webHidden/>
              </w:rPr>
              <w:tab/>
            </w:r>
            <w:r>
              <w:rPr>
                <w:noProof/>
                <w:webHidden/>
              </w:rPr>
              <w:fldChar w:fldCharType="begin"/>
            </w:r>
            <w:r>
              <w:rPr>
                <w:noProof/>
                <w:webHidden/>
              </w:rPr>
              <w:instrText xml:space="preserve"> PAGEREF _Toc51249401 \h </w:instrText>
            </w:r>
            <w:r>
              <w:rPr>
                <w:noProof/>
                <w:webHidden/>
              </w:rPr>
            </w:r>
            <w:r>
              <w:rPr>
                <w:noProof/>
                <w:webHidden/>
              </w:rPr>
              <w:fldChar w:fldCharType="separate"/>
            </w:r>
            <w:r>
              <w:rPr>
                <w:noProof/>
                <w:webHidden/>
              </w:rPr>
              <w:t>34</w:t>
            </w:r>
            <w:r>
              <w:rPr>
                <w:noProof/>
                <w:webHidden/>
              </w:rPr>
              <w:fldChar w:fldCharType="end"/>
            </w:r>
          </w:hyperlink>
        </w:p>
        <w:p w14:paraId="458762DA"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402" w:history="1">
            <w:r w:rsidRPr="00FE7E67">
              <w:rPr>
                <w:rStyle w:val="Hyperlink"/>
                <w:rFonts w:ascii="Times New Roman" w:hAnsi="Times New Roman" w:cs="Times New Roman"/>
                <w:noProof/>
              </w:rPr>
              <w:t>Rosemary’s Baby: A Case Study</w:t>
            </w:r>
            <w:r>
              <w:rPr>
                <w:noProof/>
                <w:webHidden/>
              </w:rPr>
              <w:tab/>
            </w:r>
            <w:r>
              <w:rPr>
                <w:noProof/>
                <w:webHidden/>
              </w:rPr>
              <w:fldChar w:fldCharType="begin"/>
            </w:r>
            <w:r>
              <w:rPr>
                <w:noProof/>
                <w:webHidden/>
              </w:rPr>
              <w:instrText xml:space="preserve"> PAGEREF _Toc51249402 \h </w:instrText>
            </w:r>
            <w:r>
              <w:rPr>
                <w:noProof/>
                <w:webHidden/>
              </w:rPr>
            </w:r>
            <w:r>
              <w:rPr>
                <w:noProof/>
                <w:webHidden/>
              </w:rPr>
              <w:fldChar w:fldCharType="separate"/>
            </w:r>
            <w:r>
              <w:rPr>
                <w:noProof/>
                <w:webHidden/>
              </w:rPr>
              <w:t>40</w:t>
            </w:r>
            <w:r>
              <w:rPr>
                <w:noProof/>
                <w:webHidden/>
              </w:rPr>
              <w:fldChar w:fldCharType="end"/>
            </w:r>
          </w:hyperlink>
        </w:p>
        <w:p w14:paraId="75E81345"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403" w:history="1">
            <w:r w:rsidRPr="00FE7E67">
              <w:rPr>
                <w:rStyle w:val="Hyperlink"/>
                <w:rFonts w:ascii="Times New Roman" w:hAnsi="Times New Roman" w:cs="Times New Roman"/>
                <w:noProof/>
              </w:rPr>
              <w:t>Alternate Examples &amp; Complications</w:t>
            </w:r>
            <w:r>
              <w:rPr>
                <w:noProof/>
                <w:webHidden/>
              </w:rPr>
              <w:tab/>
            </w:r>
            <w:r>
              <w:rPr>
                <w:noProof/>
                <w:webHidden/>
              </w:rPr>
              <w:fldChar w:fldCharType="begin"/>
            </w:r>
            <w:r>
              <w:rPr>
                <w:noProof/>
                <w:webHidden/>
              </w:rPr>
              <w:instrText xml:space="preserve"> PAGEREF _Toc51249403 \h </w:instrText>
            </w:r>
            <w:r>
              <w:rPr>
                <w:noProof/>
                <w:webHidden/>
              </w:rPr>
            </w:r>
            <w:r>
              <w:rPr>
                <w:noProof/>
                <w:webHidden/>
              </w:rPr>
              <w:fldChar w:fldCharType="separate"/>
            </w:r>
            <w:r>
              <w:rPr>
                <w:noProof/>
                <w:webHidden/>
              </w:rPr>
              <w:t>46</w:t>
            </w:r>
            <w:r>
              <w:rPr>
                <w:noProof/>
                <w:webHidden/>
              </w:rPr>
              <w:fldChar w:fldCharType="end"/>
            </w:r>
          </w:hyperlink>
        </w:p>
        <w:p w14:paraId="6338223E" w14:textId="77777777" w:rsidR="0009680C" w:rsidRDefault="0009680C" w:rsidP="0009680C">
          <w:pPr>
            <w:pStyle w:val="TOC1"/>
            <w:rPr>
              <w:rFonts w:eastAsiaTheme="minorEastAsia" w:cstheme="minorBidi"/>
              <w:b w:val="0"/>
              <w:bCs w:val="0"/>
              <w:caps w:val="0"/>
              <w:noProof/>
              <w:sz w:val="24"/>
              <w:szCs w:val="24"/>
              <w:u w:val="none"/>
              <w:lang w:eastAsia="en-GB"/>
            </w:rPr>
          </w:pPr>
          <w:hyperlink w:anchor="_Toc51249404" w:history="1">
            <w:r w:rsidRPr="00FE7E67">
              <w:rPr>
                <w:rStyle w:val="Hyperlink"/>
                <w:rFonts w:ascii="Times New Roman" w:hAnsi="Times New Roman" w:cs="Times New Roman"/>
                <w:noProof/>
              </w:rPr>
              <w:t>Concl</w:t>
            </w:r>
            <w:r w:rsidRPr="00FE7E67">
              <w:rPr>
                <w:rStyle w:val="Hyperlink"/>
                <w:rFonts w:ascii="Times New Roman" w:hAnsi="Times New Roman" w:cs="Times New Roman"/>
                <w:noProof/>
              </w:rPr>
              <w:t>u</w:t>
            </w:r>
            <w:r w:rsidRPr="00FE7E67">
              <w:rPr>
                <w:rStyle w:val="Hyperlink"/>
                <w:rFonts w:ascii="Times New Roman" w:hAnsi="Times New Roman" w:cs="Times New Roman"/>
                <w:noProof/>
              </w:rPr>
              <w:t xml:space="preserve">sion: What </w:t>
            </w:r>
            <w:r w:rsidRPr="00FE7E67">
              <w:rPr>
                <w:rStyle w:val="Hyperlink"/>
                <w:rFonts w:ascii="Times New Roman" w:hAnsi="Times New Roman" w:cs="Times New Roman"/>
                <w:i/>
                <w:iCs/>
                <w:noProof/>
              </w:rPr>
              <w:t>is</w:t>
            </w:r>
            <w:r w:rsidRPr="00FE7E67">
              <w:rPr>
                <w:rStyle w:val="Hyperlink"/>
                <w:rFonts w:ascii="Times New Roman" w:hAnsi="Times New Roman" w:cs="Times New Roman"/>
                <w:noProof/>
              </w:rPr>
              <w:t xml:space="preserve"> Jewish horror?</w:t>
            </w:r>
            <w:r>
              <w:rPr>
                <w:noProof/>
                <w:webHidden/>
              </w:rPr>
              <w:tab/>
            </w:r>
            <w:r>
              <w:rPr>
                <w:noProof/>
                <w:webHidden/>
              </w:rPr>
              <w:fldChar w:fldCharType="begin"/>
            </w:r>
            <w:r>
              <w:rPr>
                <w:noProof/>
                <w:webHidden/>
              </w:rPr>
              <w:instrText xml:space="preserve"> PAGEREF _Toc51249404 \h </w:instrText>
            </w:r>
            <w:r>
              <w:rPr>
                <w:noProof/>
                <w:webHidden/>
              </w:rPr>
            </w:r>
            <w:r>
              <w:rPr>
                <w:noProof/>
                <w:webHidden/>
              </w:rPr>
              <w:fldChar w:fldCharType="separate"/>
            </w:r>
            <w:r>
              <w:rPr>
                <w:noProof/>
                <w:webHidden/>
              </w:rPr>
              <w:t>49</w:t>
            </w:r>
            <w:r>
              <w:rPr>
                <w:noProof/>
                <w:webHidden/>
              </w:rPr>
              <w:fldChar w:fldCharType="end"/>
            </w:r>
          </w:hyperlink>
        </w:p>
        <w:p w14:paraId="7B869F2E" w14:textId="77777777" w:rsidR="0009680C" w:rsidRDefault="0009680C" w:rsidP="0009680C">
          <w:pPr>
            <w:pStyle w:val="TOC1"/>
            <w:rPr>
              <w:rFonts w:eastAsiaTheme="minorEastAsia" w:cstheme="minorBidi"/>
              <w:b w:val="0"/>
              <w:bCs w:val="0"/>
              <w:caps w:val="0"/>
              <w:noProof/>
              <w:sz w:val="24"/>
              <w:szCs w:val="24"/>
              <w:u w:val="none"/>
              <w:lang w:eastAsia="en-GB"/>
            </w:rPr>
          </w:pPr>
          <w:hyperlink w:anchor="_Toc51249405" w:history="1">
            <w:r w:rsidRPr="00FE7E67">
              <w:rPr>
                <w:rStyle w:val="Hyperlink"/>
                <w:rFonts w:ascii="Times New Roman" w:hAnsi="Times New Roman" w:cs="Times New Roman"/>
                <w:noProof/>
              </w:rPr>
              <w:t>Bibliography</w:t>
            </w:r>
            <w:r>
              <w:rPr>
                <w:noProof/>
                <w:webHidden/>
              </w:rPr>
              <w:tab/>
            </w:r>
            <w:r>
              <w:rPr>
                <w:noProof/>
                <w:webHidden/>
              </w:rPr>
              <w:fldChar w:fldCharType="begin"/>
            </w:r>
            <w:r>
              <w:rPr>
                <w:noProof/>
                <w:webHidden/>
              </w:rPr>
              <w:instrText xml:space="preserve"> PAGEREF _Toc51249405 \h </w:instrText>
            </w:r>
            <w:r>
              <w:rPr>
                <w:noProof/>
                <w:webHidden/>
              </w:rPr>
            </w:r>
            <w:r>
              <w:rPr>
                <w:noProof/>
                <w:webHidden/>
              </w:rPr>
              <w:fldChar w:fldCharType="separate"/>
            </w:r>
            <w:r>
              <w:rPr>
                <w:noProof/>
                <w:webHidden/>
              </w:rPr>
              <w:t>53</w:t>
            </w:r>
            <w:r>
              <w:rPr>
                <w:noProof/>
                <w:webHidden/>
              </w:rPr>
              <w:fldChar w:fldCharType="end"/>
            </w:r>
          </w:hyperlink>
        </w:p>
        <w:p w14:paraId="76958ECF"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406" w:history="1">
            <w:r w:rsidRPr="00FE7E67">
              <w:rPr>
                <w:rStyle w:val="Hyperlink"/>
                <w:rFonts w:ascii="Times New Roman" w:hAnsi="Times New Roman" w:cs="Times New Roman"/>
                <w:noProof/>
              </w:rPr>
              <w:t>Primary</w:t>
            </w:r>
            <w:r>
              <w:rPr>
                <w:noProof/>
                <w:webHidden/>
              </w:rPr>
              <w:tab/>
            </w:r>
            <w:r>
              <w:rPr>
                <w:noProof/>
                <w:webHidden/>
              </w:rPr>
              <w:fldChar w:fldCharType="begin"/>
            </w:r>
            <w:r>
              <w:rPr>
                <w:noProof/>
                <w:webHidden/>
              </w:rPr>
              <w:instrText xml:space="preserve"> PAGEREF _Toc51249406 \h </w:instrText>
            </w:r>
            <w:r>
              <w:rPr>
                <w:noProof/>
                <w:webHidden/>
              </w:rPr>
            </w:r>
            <w:r>
              <w:rPr>
                <w:noProof/>
                <w:webHidden/>
              </w:rPr>
              <w:fldChar w:fldCharType="separate"/>
            </w:r>
            <w:r>
              <w:rPr>
                <w:noProof/>
                <w:webHidden/>
              </w:rPr>
              <w:t>53</w:t>
            </w:r>
            <w:r>
              <w:rPr>
                <w:noProof/>
                <w:webHidden/>
              </w:rPr>
              <w:fldChar w:fldCharType="end"/>
            </w:r>
          </w:hyperlink>
        </w:p>
        <w:p w14:paraId="62949901" w14:textId="77777777" w:rsidR="0009680C" w:rsidRDefault="0009680C" w:rsidP="0009680C">
          <w:pPr>
            <w:pStyle w:val="TOC2"/>
            <w:tabs>
              <w:tab w:val="right" w:leader="dot" w:pos="9016"/>
            </w:tabs>
            <w:rPr>
              <w:rFonts w:eastAsiaTheme="minorEastAsia" w:cstheme="minorBidi"/>
              <w:b w:val="0"/>
              <w:bCs w:val="0"/>
              <w:smallCaps w:val="0"/>
              <w:noProof/>
              <w:sz w:val="24"/>
              <w:szCs w:val="24"/>
              <w:lang w:eastAsia="en-GB"/>
            </w:rPr>
          </w:pPr>
          <w:hyperlink w:anchor="_Toc51249407" w:history="1">
            <w:r w:rsidRPr="00FE7E67">
              <w:rPr>
                <w:rStyle w:val="Hyperlink"/>
                <w:rFonts w:ascii="Times New Roman" w:hAnsi="Times New Roman" w:cs="Times New Roman"/>
                <w:noProof/>
              </w:rPr>
              <w:t>Secondary</w:t>
            </w:r>
            <w:r>
              <w:rPr>
                <w:noProof/>
                <w:webHidden/>
              </w:rPr>
              <w:tab/>
            </w:r>
            <w:r>
              <w:rPr>
                <w:noProof/>
                <w:webHidden/>
              </w:rPr>
              <w:fldChar w:fldCharType="begin"/>
            </w:r>
            <w:r>
              <w:rPr>
                <w:noProof/>
                <w:webHidden/>
              </w:rPr>
              <w:instrText xml:space="preserve"> PAGEREF _Toc51249407 \h </w:instrText>
            </w:r>
            <w:r>
              <w:rPr>
                <w:noProof/>
                <w:webHidden/>
              </w:rPr>
            </w:r>
            <w:r>
              <w:rPr>
                <w:noProof/>
                <w:webHidden/>
              </w:rPr>
              <w:fldChar w:fldCharType="separate"/>
            </w:r>
            <w:r>
              <w:rPr>
                <w:noProof/>
                <w:webHidden/>
              </w:rPr>
              <w:t>53</w:t>
            </w:r>
            <w:r>
              <w:rPr>
                <w:noProof/>
                <w:webHidden/>
              </w:rPr>
              <w:fldChar w:fldCharType="end"/>
            </w:r>
          </w:hyperlink>
        </w:p>
        <w:p w14:paraId="79BE944D"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b/>
              <w:bCs/>
              <w:noProof/>
              <w:sz w:val="24"/>
              <w:szCs w:val="24"/>
            </w:rPr>
            <w:fldChar w:fldCharType="end"/>
          </w:r>
        </w:p>
      </w:sdtContent>
    </w:sdt>
    <w:p w14:paraId="1F4C3F1E" w14:textId="77777777" w:rsidR="0009680C" w:rsidRDefault="0009680C" w:rsidP="0009680C">
      <w:pPr>
        <w:pStyle w:val="Heading1"/>
        <w:spacing w:line="480" w:lineRule="auto"/>
        <w:rPr>
          <w:rFonts w:ascii="Times New Roman" w:hAnsi="Times New Roman" w:cs="Times New Roman"/>
          <w:sz w:val="24"/>
          <w:szCs w:val="24"/>
          <w:lang w:val="en-US"/>
        </w:rPr>
      </w:pPr>
    </w:p>
    <w:p w14:paraId="4B1E202A" w14:textId="77777777" w:rsidR="0009680C" w:rsidRPr="00872318" w:rsidRDefault="0009680C" w:rsidP="0009680C">
      <w:pPr>
        <w:pStyle w:val="Heading1"/>
        <w:spacing w:line="480" w:lineRule="auto"/>
        <w:rPr>
          <w:rFonts w:ascii="Times New Roman" w:hAnsi="Times New Roman" w:cs="Times New Roman"/>
          <w:sz w:val="24"/>
          <w:szCs w:val="24"/>
          <w:lang w:val="en-US"/>
        </w:rPr>
      </w:pPr>
      <w:bookmarkStart w:id="0" w:name="_Toc51249389"/>
      <w:r w:rsidRPr="00872318">
        <w:rPr>
          <w:rFonts w:ascii="Times New Roman" w:hAnsi="Times New Roman" w:cs="Times New Roman"/>
          <w:sz w:val="24"/>
          <w:szCs w:val="24"/>
          <w:lang w:val="en-US"/>
        </w:rPr>
        <w:t>Acknowledgements</w:t>
      </w:r>
      <w:bookmarkEnd w:id="0"/>
    </w:p>
    <w:p w14:paraId="5DC4C2EC"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This project has been a significant part of my life for the last six months and I would like to thank the following people for their invaluable input.</w:t>
      </w:r>
    </w:p>
    <w:p w14:paraId="6076C581"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My supervisor, Dr Devorah Baum. Dr Baum’s teaching and support have been nothing short of inspiring over the past four years and I would not have even undertaken an MA course if not for her. Especially in these unsettling and chaotic times, I appreciate her guidance and patience even more.</w:t>
      </w:r>
    </w:p>
    <w:p w14:paraId="4783C3AC"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To my parents, John and Susan, and my brother James, for their unwavering support (and bankrolling) of me and my studies. I love you all more than anything in the world.</w:t>
      </w:r>
    </w:p>
    <w:p w14:paraId="24F68736"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To Aimee Pawlak, for always being ready with a cute rabbit photo, a sharp proof-reading eye, and some tough love whenever I was floundering. The best sister a girl could ask for.</w:t>
      </w:r>
    </w:p>
    <w:p w14:paraId="20ADE169"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To my creative and emotional lifelines from the past four years: Alex Monroe, Hazel Jonckers, Phoebe Jeffries, Bethany Priddy, Alisha Rehmatullah, James Jackson, Stan Collins, and Elizabeth Taylor. I can say without a doubt that I would not be half the woman or writer I am today if not for their insistence on pulling me, kicking and screaming, out of my comfort zone.</w:t>
      </w:r>
    </w:p>
    <w:p w14:paraId="49AD34DD"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 xml:space="preserve">To my work colleagues for handling my endless rambles about Jewish horror with grace and patience. We may get paid minimum wage, but you’re all worth at least 50p more an hour to me. </w:t>
      </w:r>
    </w:p>
    <w:p w14:paraId="14D1D336"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t>Thank you to all the friends, family, and colleagues who have supported and roasted me in equal measure over these last four years. I couldn’t have done it without a single one of you.</w:t>
      </w:r>
    </w:p>
    <w:p w14:paraId="50A078B0" w14:textId="77777777" w:rsidR="0009680C" w:rsidRDefault="0009680C" w:rsidP="0009680C">
      <w:pPr>
        <w:pStyle w:val="Heading1"/>
        <w:spacing w:line="480" w:lineRule="auto"/>
        <w:rPr>
          <w:rFonts w:ascii="Times New Roman" w:hAnsi="Times New Roman" w:cs="Times New Roman"/>
          <w:sz w:val="24"/>
          <w:szCs w:val="24"/>
          <w:lang w:val="en-US"/>
        </w:rPr>
      </w:pPr>
    </w:p>
    <w:p w14:paraId="3742C903" w14:textId="77777777" w:rsidR="0009680C" w:rsidRPr="00872318" w:rsidRDefault="0009680C" w:rsidP="0009680C">
      <w:pPr>
        <w:pStyle w:val="Heading1"/>
        <w:spacing w:line="480" w:lineRule="auto"/>
        <w:rPr>
          <w:rFonts w:ascii="Times New Roman" w:hAnsi="Times New Roman" w:cs="Times New Roman"/>
          <w:sz w:val="24"/>
          <w:szCs w:val="24"/>
          <w:lang w:val="en-US"/>
        </w:rPr>
      </w:pPr>
      <w:bookmarkStart w:id="1" w:name="_Toc51249390"/>
      <w:r w:rsidRPr="00872318">
        <w:rPr>
          <w:rFonts w:ascii="Times New Roman" w:hAnsi="Times New Roman" w:cs="Times New Roman"/>
          <w:sz w:val="24"/>
          <w:szCs w:val="24"/>
          <w:lang w:val="en-US"/>
        </w:rPr>
        <w:t>Introduction: ‘The Power of Christ Compels You!’</w:t>
      </w:r>
      <w:bookmarkEnd w:id="1"/>
    </w:p>
    <w:p w14:paraId="18264019" w14:textId="77777777" w:rsidR="0009680C" w:rsidRPr="00872318" w:rsidRDefault="0009680C" w:rsidP="0009680C">
      <w:pPr>
        <w:spacing w:line="480" w:lineRule="auto"/>
        <w:ind w:firstLine="720"/>
        <w:rPr>
          <w:rFonts w:ascii="Times New Roman" w:hAnsi="Times New Roman" w:cs="Times New Roman"/>
          <w:sz w:val="24"/>
          <w:szCs w:val="24"/>
          <w:lang w:val="en-US"/>
        </w:rPr>
      </w:pPr>
      <w:r w:rsidRPr="00872318">
        <w:rPr>
          <w:rFonts w:ascii="Times New Roman" w:hAnsi="Times New Roman" w:cs="Times New Roman"/>
          <w:sz w:val="24"/>
          <w:szCs w:val="24"/>
          <w:lang w:val="en-US"/>
        </w:rPr>
        <w:t>The holy words are uttered. A girl floats above her bed, trance-like, her defiled and abject body suspended with arms outstretched, as though she were being crucified. Both the audience and Father Damien Karras watch the battle of wills between God, the demon Pazuzu, and their respective champions, Father Merrin and Regan, in awe, in one of the most iconic scenes in horror history, if not the history of cinema itself.</w:t>
      </w:r>
      <w:r w:rsidRPr="00872318">
        <w:rPr>
          <w:rStyle w:val="FootnoteReference"/>
          <w:rFonts w:cs="Times New Roman"/>
          <w:sz w:val="24"/>
          <w:szCs w:val="24"/>
          <w:lang w:val="en-US"/>
        </w:rPr>
        <w:footnoteReference w:id="1"/>
      </w:r>
      <w:r w:rsidRPr="00872318">
        <w:rPr>
          <w:rFonts w:ascii="Times New Roman" w:hAnsi="Times New Roman" w:cs="Times New Roman"/>
          <w:sz w:val="24"/>
          <w:szCs w:val="24"/>
          <w:lang w:val="en-US"/>
        </w:rPr>
        <w:t xml:space="preserve"> Regan’s body descends, the entity within her fighting viciously against the words of the Lord, but eventually being exorcised and defeated. Christianity prevails over the demon; good prevails over evil.</w:t>
      </w:r>
    </w:p>
    <w:p w14:paraId="0E75C7EA" w14:textId="77777777" w:rsidR="0009680C" w:rsidRPr="00872318" w:rsidRDefault="0009680C" w:rsidP="0009680C">
      <w:pPr>
        <w:spacing w:line="480" w:lineRule="auto"/>
        <w:ind w:firstLine="720"/>
        <w:rPr>
          <w:rFonts w:ascii="Times New Roman" w:hAnsi="Times New Roman" w:cs="Times New Roman"/>
          <w:sz w:val="24"/>
          <w:szCs w:val="24"/>
          <w:lang w:val="en-US"/>
        </w:rPr>
      </w:pPr>
      <w:r w:rsidRPr="00872318">
        <w:rPr>
          <w:rFonts w:ascii="Times New Roman" w:hAnsi="Times New Roman" w:cs="Times New Roman"/>
          <w:sz w:val="24"/>
          <w:szCs w:val="24"/>
          <w:lang w:val="en-US"/>
        </w:rPr>
        <w:t>Eleven years later, a scantily clad teenage girl follows a sinister voice into the dark. When the speaker emerges, blades on each of his four fingers, she begs ‘Please, God!’. The blades frame his faces as he tells her, with an air of amusement that would become his calling-card across six sequels, ‘</w:t>
      </w:r>
      <w:r w:rsidRPr="00872318">
        <w:rPr>
          <w:rFonts w:ascii="Times New Roman" w:hAnsi="Times New Roman" w:cs="Times New Roman"/>
          <w:i/>
          <w:iCs/>
          <w:sz w:val="24"/>
          <w:szCs w:val="24"/>
          <w:lang w:val="en-US"/>
        </w:rPr>
        <w:t xml:space="preserve">This </w:t>
      </w:r>
      <w:r w:rsidRPr="00872318">
        <w:rPr>
          <w:rFonts w:ascii="Times New Roman" w:hAnsi="Times New Roman" w:cs="Times New Roman"/>
          <w:sz w:val="24"/>
          <w:szCs w:val="24"/>
          <w:lang w:val="en-US"/>
        </w:rPr>
        <w:t>is the face of God’.</w:t>
      </w:r>
      <w:r w:rsidRPr="00872318">
        <w:rPr>
          <w:rStyle w:val="FootnoteReference"/>
          <w:rFonts w:cs="Times New Roman"/>
          <w:sz w:val="24"/>
          <w:szCs w:val="24"/>
          <w:lang w:val="en-US"/>
        </w:rPr>
        <w:footnoteReference w:id="2"/>
      </w:r>
      <w:r w:rsidRPr="00872318">
        <w:rPr>
          <w:rFonts w:ascii="Times New Roman" w:hAnsi="Times New Roman" w:cs="Times New Roman"/>
          <w:sz w:val="24"/>
          <w:szCs w:val="24"/>
          <w:lang w:val="en-US"/>
        </w:rPr>
        <w:t xml:space="preserve"> Chased back to her home, the girl finds the door locked. There is no return and, in her dream-state, her stalker may as well in fact be a vengeful God, symbolically punishing her for the sin of pre-marital sex.</w:t>
      </w:r>
    </w:p>
    <w:p w14:paraId="578324C3" w14:textId="77777777" w:rsidR="0009680C" w:rsidRPr="00872318" w:rsidRDefault="0009680C" w:rsidP="0009680C">
      <w:pPr>
        <w:spacing w:line="480" w:lineRule="auto"/>
        <w:ind w:firstLine="720"/>
        <w:rPr>
          <w:rFonts w:ascii="Times New Roman" w:hAnsi="Times New Roman" w:cs="Times New Roman"/>
          <w:sz w:val="24"/>
          <w:szCs w:val="24"/>
          <w:lang w:val="en-US"/>
        </w:rPr>
      </w:pPr>
      <w:r w:rsidRPr="00872318">
        <w:rPr>
          <w:rFonts w:ascii="Times New Roman" w:hAnsi="Times New Roman" w:cs="Times New Roman"/>
          <w:sz w:val="24"/>
          <w:szCs w:val="24"/>
          <w:lang w:val="en-US"/>
        </w:rPr>
        <w:t xml:space="preserve">Whether it’s the all-powerful killer stalking promiscuous teenagers, the vampire who can only be cowed by a crucifix, or demonic forces attempting to lure innocent Christians away from goodness and into witchcraft and sin, horror has never suffered a shortage of Christian iconography. Even films seemingly uninterested in religion, such as the aforementioned A Nightmare on Elm Street (1984), in which there is barely a Bible or bottle of holy water to be seen, there are still strict values: have sex, take drugs, or drink, and you </w:t>
      </w:r>
      <w:r w:rsidRPr="00872318">
        <w:rPr>
          <w:rFonts w:ascii="Times New Roman" w:hAnsi="Times New Roman" w:cs="Times New Roman"/>
          <w:i/>
          <w:iCs/>
          <w:sz w:val="24"/>
          <w:szCs w:val="24"/>
          <w:lang w:val="en-US"/>
        </w:rPr>
        <w:t xml:space="preserve">will </w:t>
      </w:r>
      <w:r w:rsidRPr="00872318">
        <w:rPr>
          <w:rFonts w:ascii="Times New Roman" w:hAnsi="Times New Roman" w:cs="Times New Roman"/>
          <w:sz w:val="24"/>
          <w:szCs w:val="24"/>
          <w:lang w:val="en-US"/>
        </w:rPr>
        <w:t xml:space="preserve">die as a consequence. That particular formula has been endlessly dissected both on and </w:t>
      </w:r>
      <w:r w:rsidRPr="00872318">
        <w:rPr>
          <w:rFonts w:ascii="Times New Roman" w:hAnsi="Times New Roman" w:cs="Times New Roman"/>
          <w:sz w:val="24"/>
          <w:szCs w:val="24"/>
          <w:lang w:val="en-US"/>
        </w:rPr>
        <w:lastRenderedPageBreak/>
        <w:t>off-screen, perhaps most memorably in Carol Clover’s seminal analysis of the slasher sub-genre, ‘Men, Women, and Chainsaws: Gender in the Modern Horror Film’, but each sub-genre of horror seems to find its own take on Christian religion. The slasher film has its iconic, godlike killers, enforcing conservative morality on sinful teenagers, only to be temporarily defeated by a virginal heroine.</w:t>
      </w:r>
      <w:r w:rsidRPr="00872318">
        <w:rPr>
          <w:rStyle w:val="FootnoteReference"/>
          <w:rFonts w:cs="Times New Roman"/>
          <w:sz w:val="24"/>
          <w:szCs w:val="24"/>
          <w:lang w:val="en-US"/>
        </w:rPr>
        <w:footnoteReference w:id="3"/>
      </w:r>
      <w:r w:rsidRPr="00872318">
        <w:rPr>
          <w:rFonts w:ascii="Times New Roman" w:hAnsi="Times New Roman" w:cs="Times New Roman"/>
          <w:sz w:val="24"/>
          <w:szCs w:val="24"/>
          <w:lang w:val="en-US"/>
        </w:rPr>
        <w:t xml:space="preserve"> Across centuries of gothic and horror media, ghost stories have implied the existence of an afterlife, often along with a Heaven or Hell influenced by the Christian sense of the concept. Demons, vampires, and the occult are the villains of countless stories in the genre, plaguing innocents (often young women), in inevitable opposition to Christianity. In horror, to abide by Christian norms and values or to enforce them is repeatedly associated with power and victory. To defy them, with defeat and death.</w:t>
      </w:r>
    </w:p>
    <w:p w14:paraId="5D2634FD" w14:textId="77777777" w:rsidR="0009680C" w:rsidRPr="00872318" w:rsidRDefault="0009680C" w:rsidP="0009680C">
      <w:pPr>
        <w:spacing w:line="480" w:lineRule="auto"/>
        <w:ind w:firstLine="720"/>
        <w:rPr>
          <w:rFonts w:ascii="Times New Roman" w:hAnsi="Times New Roman" w:cs="Times New Roman"/>
          <w:sz w:val="24"/>
          <w:szCs w:val="24"/>
          <w:lang w:val="en-US"/>
        </w:rPr>
      </w:pPr>
      <w:r w:rsidRPr="00872318">
        <w:rPr>
          <w:rFonts w:ascii="Times New Roman" w:hAnsi="Times New Roman" w:cs="Times New Roman"/>
          <w:sz w:val="24"/>
          <w:szCs w:val="24"/>
          <w:lang w:val="en-US"/>
        </w:rPr>
        <w:t xml:space="preserve">What emerges as a pattern among what I will term ‘Christian horror’ texts are two routes into the genre. The first, as demonstrated in my earlier example of William Friedkin’s </w:t>
      </w:r>
      <w:r w:rsidRPr="00872318">
        <w:rPr>
          <w:rFonts w:ascii="Times New Roman" w:hAnsi="Times New Roman" w:cs="Times New Roman"/>
          <w:i/>
          <w:iCs/>
          <w:sz w:val="24"/>
          <w:szCs w:val="24"/>
          <w:lang w:val="en-US"/>
        </w:rPr>
        <w:t>The Exorcist</w:t>
      </w:r>
      <w:r w:rsidRPr="00872318">
        <w:rPr>
          <w:rFonts w:ascii="Times New Roman" w:hAnsi="Times New Roman" w:cs="Times New Roman"/>
          <w:sz w:val="24"/>
          <w:szCs w:val="24"/>
          <w:lang w:val="en-US"/>
        </w:rPr>
        <w:t xml:space="preserve"> (1973), relies on religious symbols, iconography, and theology. In his 2016 article ‘The Sanctification of Fear: Images of the Religious in Horror Films’, Bryan Stone comes to the conclusion that Christian religious symbols have lost their significance, becoming merely an arsenal of imagery used to evoke fear, provide catharsis, and explore generic notions of evil, instead of espousing a specifically Christian doctrine.</w:t>
      </w:r>
      <w:r w:rsidRPr="00872318">
        <w:rPr>
          <w:rStyle w:val="FootnoteReference"/>
          <w:rFonts w:cs="Times New Roman"/>
          <w:sz w:val="24"/>
          <w:szCs w:val="24"/>
          <w:lang w:val="en-US"/>
        </w:rPr>
        <w:footnoteReference w:id="4"/>
      </w:r>
      <w:r w:rsidRPr="00872318">
        <w:rPr>
          <w:rFonts w:ascii="Times New Roman" w:hAnsi="Times New Roman" w:cs="Times New Roman"/>
          <w:sz w:val="24"/>
          <w:szCs w:val="24"/>
          <w:lang w:val="en-US"/>
        </w:rPr>
        <w:t xml:space="preserve"> The religious elements, in this interpretation, are mostly superficial. Stone acknowledges that while Christian themes of good versus evil, sin and redemption, divine punishment, and martyrdom, are often being explored in Christian horror texts, the symbols used are limited to creating spectacle rather than asking complex theological questions. This may prompt readers to ask an under-discussed question: if Christian imagery has become meaningless to modern </w:t>
      </w:r>
      <w:r w:rsidRPr="00872318">
        <w:rPr>
          <w:rFonts w:ascii="Times New Roman" w:hAnsi="Times New Roman" w:cs="Times New Roman"/>
          <w:sz w:val="24"/>
          <w:szCs w:val="24"/>
          <w:lang w:val="en-US"/>
        </w:rPr>
        <w:lastRenderedPageBreak/>
        <w:t xml:space="preserve">audiences and is used merely as a shorthand to evoke certain emotions, should the genre turn to alternative theologies to rediscover this lost complexity and fear? The second aspect of Christian horror is in the sensibility or morality displayed by a text. This aspect is demonstrated in my second example, </w:t>
      </w:r>
      <w:r w:rsidRPr="00872318">
        <w:rPr>
          <w:rFonts w:ascii="Times New Roman" w:hAnsi="Times New Roman" w:cs="Times New Roman"/>
          <w:i/>
          <w:iCs/>
          <w:sz w:val="24"/>
          <w:szCs w:val="24"/>
          <w:lang w:val="en-US"/>
        </w:rPr>
        <w:t>A Nightmare on Elm Street</w:t>
      </w:r>
      <w:r w:rsidRPr="00872318">
        <w:rPr>
          <w:rFonts w:ascii="Times New Roman" w:hAnsi="Times New Roman" w:cs="Times New Roman"/>
          <w:sz w:val="24"/>
          <w:szCs w:val="24"/>
          <w:lang w:val="en-US"/>
        </w:rPr>
        <w:t xml:space="preserve"> (1984), as well as countless others, in which the narrative aligns with Christian values in its condemnation of sexual promiscuity. In their study of 30 horror movies from the 1980s, 90s, and 2000s, Angela Weaver et al assert that despite being considered a marginal genre, horror films often affirm conservative Christian values.</w:t>
      </w:r>
      <w:r w:rsidRPr="00872318">
        <w:rPr>
          <w:rStyle w:val="FootnoteReference"/>
          <w:rFonts w:cs="Times New Roman"/>
          <w:sz w:val="24"/>
          <w:szCs w:val="24"/>
          <w:lang w:val="en-US"/>
        </w:rPr>
        <w:footnoteReference w:id="5"/>
      </w:r>
      <w:r w:rsidRPr="00872318">
        <w:rPr>
          <w:rFonts w:ascii="Times New Roman" w:hAnsi="Times New Roman" w:cs="Times New Roman"/>
          <w:sz w:val="24"/>
          <w:szCs w:val="24"/>
          <w:lang w:val="en-US"/>
        </w:rPr>
        <w:t xml:space="preserve"> In addition to this, modern horror films such as </w:t>
      </w:r>
      <w:r w:rsidRPr="00872318">
        <w:rPr>
          <w:rFonts w:ascii="Times New Roman" w:hAnsi="Times New Roman" w:cs="Times New Roman"/>
          <w:i/>
          <w:iCs/>
          <w:sz w:val="24"/>
          <w:szCs w:val="24"/>
          <w:lang w:val="en-US"/>
        </w:rPr>
        <w:t>The Conjuring</w:t>
      </w:r>
      <w:r w:rsidRPr="00872318">
        <w:rPr>
          <w:rFonts w:ascii="Times New Roman" w:hAnsi="Times New Roman" w:cs="Times New Roman"/>
          <w:sz w:val="24"/>
          <w:szCs w:val="24"/>
          <w:lang w:val="en-US"/>
        </w:rPr>
        <w:t xml:space="preserve"> series (2013, 2016) carry a strong undercurrent of conservatism with the implicit assumption that ‘good can radiate from organized religion, which can cast out trauma and evil by sheer virtue’.</w:t>
      </w:r>
      <w:r w:rsidRPr="00872318">
        <w:rPr>
          <w:rStyle w:val="FootnoteReference"/>
          <w:rFonts w:cs="Times New Roman"/>
          <w:sz w:val="24"/>
          <w:szCs w:val="24"/>
          <w:lang w:val="en-US"/>
        </w:rPr>
        <w:footnoteReference w:id="6"/>
      </w:r>
      <w:r w:rsidRPr="00872318">
        <w:rPr>
          <w:rFonts w:ascii="Times New Roman" w:hAnsi="Times New Roman" w:cs="Times New Roman"/>
          <w:sz w:val="24"/>
          <w:szCs w:val="24"/>
          <w:lang w:val="en-US"/>
        </w:rPr>
        <w:t xml:space="preserve"> However, it would not be fair to paint all horror with the same ideological brush; after all, the horror genre has, in the past, depicted other value systems, such as hedonism or nihilism (examples of this include Clive Barker’s </w:t>
      </w:r>
      <w:r w:rsidRPr="00872318">
        <w:rPr>
          <w:rFonts w:ascii="Times New Roman" w:hAnsi="Times New Roman" w:cs="Times New Roman"/>
          <w:i/>
          <w:iCs/>
          <w:sz w:val="24"/>
          <w:szCs w:val="24"/>
          <w:lang w:val="en-US"/>
        </w:rPr>
        <w:t>Hellraiser</w:t>
      </w:r>
      <w:r w:rsidRPr="00872318">
        <w:rPr>
          <w:rFonts w:ascii="Times New Roman" w:hAnsi="Times New Roman" w:cs="Times New Roman"/>
          <w:sz w:val="24"/>
          <w:szCs w:val="24"/>
          <w:lang w:val="en-US"/>
        </w:rPr>
        <w:t xml:space="preserve"> series (1987-2018) and Pier Paolo Pasolini’s </w:t>
      </w:r>
      <w:r w:rsidRPr="00872318">
        <w:rPr>
          <w:rFonts w:ascii="Times New Roman" w:hAnsi="Times New Roman" w:cs="Times New Roman"/>
          <w:i/>
          <w:iCs/>
          <w:sz w:val="24"/>
          <w:szCs w:val="24"/>
          <w:lang w:val="en-US"/>
        </w:rPr>
        <w:t>Salò, or the 120 Days of Sodom</w:t>
      </w:r>
      <w:r w:rsidRPr="00872318">
        <w:rPr>
          <w:rFonts w:ascii="Times New Roman" w:hAnsi="Times New Roman" w:cs="Times New Roman"/>
          <w:sz w:val="24"/>
          <w:szCs w:val="24"/>
          <w:lang w:val="en-US"/>
        </w:rPr>
        <w:t xml:space="preserve"> (1975) respectively. But how many other entries in the horror genre subscribe to a specifically </w:t>
      </w:r>
      <w:r w:rsidRPr="00872318">
        <w:rPr>
          <w:rFonts w:ascii="Times New Roman" w:hAnsi="Times New Roman" w:cs="Times New Roman"/>
          <w:i/>
          <w:iCs/>
          <w:sz w:val="24"/>
          <w:szCs w:val="24"/>
          <w:lang w:val="en-US"/>
        </w:rPr>
        <w:t>religious</w:t>
      </w:r>
      <w:r w:rsidRPr="00872318">
        <w:rPr>
          <w:rFonts w:ascii="Times New Roman" w:hAnsi="Times New Roman" w:cs="Times New Roman"/>
          <w:sz w:val="24"/>
          <w:szCs w:val="24"/>
          <w:lang w:val="en-US"/>
        </w:rPr>
        <w:t xml:space="preserve"> value system and, beyond that, to a non-Christian value system?</w:t>
      </w:r>
    </w:p>
    <w:p w14:paraId="1DCBBA2F" w14:textId="77777777" w:rsidR="0009680C" w:rsidRPr="00872318" w:rsidRDefault="0009680C" w:rsidP="0009680C">
      <w:pPr>
        <w:pStyle w:val="Heading2"/>
        <w:spacing w:line="480" w:lineRule="auto"/>
        <w:rPr>
          <w:rFonts w:ascii="Times New Roman" w:hAnsi="Times New Roman" w:cs="Times New Roman"/>
          <w:sz w:val="24"/>
          <w:szCs w:val="24"/>
          <w:lang w:val="en-US"/>
        </w:rPr>
      </w:pPr>
      <w:bookmarkStart w:id="2" w:name="_Toc51249391"/>
      <w:r w:rsidRPr="00872318">
        <w:rPr>
          <w:rFonts w:ascii="Times New Roman" w:hAnsi="Times New Roman" w:cs="Times New Roman"/>
          <w:sz w:val="24"/>
          <w:szCs w:val="24"/>
          <w:lang w:val="en-US"/>
        </w:rPr>
        <w:t>A Conspicuous Absence</w:t>
      </w:r>
      <w:bookmarkEnd w:id="2"/>
    </w:p>
    <w:p w14:paraId="2BB2629C" w14:textId="77777777" w:rsidR="0009680C" w:rsidRPr="00872318" w:rsidRDefault="0009680C" w:rsidP="0009680C">
      <w:pPr>
        <w:spacing w:line="480" w:lineRule="auto"/>
        <w:rPr>
          <w:rFonts w:ascii="Times New Roman" w:hAnsi="Times New Roman" w:cs="Times New Roman"/>
          <w:sz w:val="24"/>
          <w:szCs w:val="24"/>
          <w:lang w:val="en-US"/>
        </w:rPr>
      </w:pPr>
      <w:r w:rsidRPr="00872318">
        <w:rPr>
          <w:rFonts w:ascii="Times New Roman" w:hAnsi="Times New Roman" w:cs="Times New Roman"/>
          <w:sz w:val="24"/>
          <w:szCs w:val="24"/>
          <w:lang w:val="en-US"/>
        </w:rPr>
        <w:tab/>
        <w:t xml:space="preserve">Jewish contributions to other genres, such as comedy, have been tracked exhaustively over the past century, but there is a notable absence of Jewish analyses of genre. So far, scholarship has been limited, on one hand, to studies of the Jewish Gothic which, while fascinating, constrains Jewish horror narratives mostly to pre-Holocaust depiction. On the other hand, recent studies such as Brian E. Crim’s </w:t>
      </w:r>
      <w:r w:rsidRPr="00872318">
        <w:rPr>
          <w:rFonts w:ascii="Times New Roman" w:hAnsi="Times New Roman" w:cs="Times New Roman"/>
          <w:i/>
          <w:iCs/>
          <w:sz w:val="24"/>
          <w:szCs w:val="24"/>
          <w:lang w:val="en-US"/>
        </w:rPr>
        <w:t xml:space="preserve">Planet Auschwitz: Holocaust </w:t>
      </w:r>
      <w:r w:rsidRPr="00872318">
        <w:rPr>
          <w:rFonts w:ascii="Times New Roman" w:hAnsi="Times New Roman" w:cs="Times New Roman"/>
          <w:i/>
          <w:iCs/>
          <w:sz w:val="24"/>
          <w:szCs w:val="24"/>
          <w:lang w:val="en-US"/>
        </w:rPr>
        <w:lastRenderedPageBreak/>
        <w:t>Representation in Science Fiction and Horror Film and Television</w:t>
      </w:r>
      <w:r w:rsidRPr="00872318">
        <w:rPr>
          <w:rFonts w:ascii="Times New Roman" w:hAnsi="Times New Roman" w:cs="Times New Roman"/>
          <w:sz w:val="24"/>
          <w:szCs w:val="24"/>
          <w:lang w:val="en-US"/>
        </w:rPr>
        <w:t xml:space="preserve"> do acknowledge Jewish genre works, but almost entirely within the context of the Holocaust. While some incredible scholarship has been done in these fields, to constrain these narratives to simply exploring the Holocaust is reductive at best, not only reducing anti-Semitism to one single historical event, but also reducing Jewish experience and identity down to suffering. While the horror genre could be described as preoccupied with experiences of pain and suffering, my intention here is to explore the ways in which these narratives encapsulate Jewish identity, rather than merely narratives of Jewish suffering that seem to pervade media and culture (for example, the controversial proliferation of Holocaust films that seem to exist primarily for gentile audiences, such as </w:t>
      </w:r>
      <w:r w:rsidRPr="00872318">
        <w:rPr>
          <w:rFonts w:ascii="Times New Roman" w:hAnsi="Times New Roman" w:cs="Times New Roman"/>
          <w:i/>
          <w:iCs/>
          <w:sz w:val="24"/>
          <w:szCs w:val="24"/>
          <w:lang w:val="en-US"/>
        </w:rPr>
        <w:t>The Reader</w:t>
      </w:r>
      <w:r w:rsidRPr="00872318">
        <w:rPr>
          <w:rFonts w:ascii="Times New Roman" w:hAnsi="Times New Roman" w:cs="Times New Roman"/>
          <w:sz w:val="24"/>
          <w:szCs w:val="24"/>
          <w:lang w:val="en-US"/>
        </w:rPr>
        <w:t xml:space="preserve"> (2008)).</w:t>
      </w:r>
    </w:p>
    <w:p w14:paraId="757DC3B9" w14:textId="77777777" w:rsidR="0009680C" w:rsidRPr="00872318" w:rsidRDefault="0009680C" w:rsidP="0009680C">
      <w:pPr>
        <w:spacing w:line="480" w:lineRule="auto"/>
        <w:rPr>
          <w:rFonts w:ascii="Times New Roman" w:hAnsi="Times New Roman" w:cs="Times New Roman"/>
          <w:sz w:val="24"/>
          <w:szCs w:val="24"/>
          <w:lang w:val="en-US"/>
        </w:rPr>
      </w:pPr>
      <w:r w:rsidRPr="00872318">
        <w:rPr>
          <w:rFonts w:ascii="Times New Roman" w:hAnsi="Times New Roman" w:cs="Times New Roman"/>
          <w:sz w:val="24"/>
          <w:szCs w:val="24"/>
          <w:lang w:val="en-US"/>
        </w:rPr>
        <w:tab/>
        <w:t xml:space="preserve">My aim in this research is to construct the beginnings of a positive definition of ‘Jewish horror’ as a sub-genre, defining the notion in terms of Jewish identity across centuries, rather than just through genre fiction’s depictions of historical fiction events. The texts I have selected have been chosen to represent each of the two aforementioned elements in religious elements. First, I shall examine the works of Jewish author Franz Kafka how a sensibility of Jewish horror can be outlined. In particular, I will be analyzing Kafka’s short story ‘The Metamorphosis’ and the horror elements it contains in order to suggest an alternative to Christian horror, which bases itself largely on conservative Christian values. Secondly, I will be analyzing Marcin Wrona’s </w:t>
      </w:r>
      <w:r w:rsidRPr="00872318">
        <w:rPr>
          <w:rFonts w:ascii="Times New Roman" w:hAnsi="Times New Roman" w:cs="Times New Roman"/>
          <w:i/>
          <w:iCs/>
          <w:sz w:val="24"/>
          <w:szCs w:val="24"/>
          <w:lang w:val="en-US"/>
        </w:rPr>
        <w:t>Demon</w:t>
      </w:r>
      <w:r w:rsidRPr="00872318">
        <w:rPr>
          <w:rFonts w:ascii="Times New Roman" w:hAnsi="Times New Roman" w:cs="Times New Roman"/>
          <w:sz w:val="24"/>
          <w:szCs w:val="24"/>
          <w:lang w:val="en-US"/>
        </w:rPr>
        <w:t xml:space="preserve"> (2015) as an example of Jewish theology in horror in order to analyse the ways in which Jewish horror uses its theology to achieve different ends than Christian horror. Thirdly, I will be exploring the liminal case of Ira Levin’s novel </w:t>
      </w:r>
      <w:r w:rsidRPr="00872318">
        <w:rPr>
          <w:rFonts w:ascii="Times New Roman" w:hAnsi="Times New Roman" w:cs="Times New Roman"/>
          <w:i/>
          <w:iCs/>
          <w:sz w:val="24"/>
          <w:szCs w:val="24"/>
          <w:lang w:val="en-US"/>
        </w:rPr>
        <w:t>Rosemary’s Baby</w:t>
      </w:r>
      <w:r w:rsidRPr="00872318">
        <w:rPr>
          <w:rFonts w:ascii="Times New Roman" w:hAnsi="Times New Roman" w:cs="Times New Roman"/>
          <w:sz w:val="24"/>
          <w:szCs w:val="24"/>
          <w:lang w:val="en-US"/>
        </w:rPr>
        <w:t xml:space="preserve">, a rare example of a Jewish author utilizing Christian iconography to construct a Jewish horror narrative and the implications this has for the sub-genre. While my analysis will be largely dialectic, examining how Jewish horror diverges from its Christian alternative (the current frontrunner of religious horror), my intent is to use </w:t>
      </w:r>
      <w:r w:rsidRPr="00872318">
        <w:rPr>
          <w:rFonts w:ascii="Times New Roman" w:hAnsi="Times New Roman" w:cs="Times New Roman"/>
          <w:sz w:val="24"/>
          <w:szCs w:val="24"/>
          <w:lang w:val="en-US"/>
        </w:rPr>
        <w:lastRenderedPageBreak/>
        <w:t>Christianity to aid in defining points that can then be expanded through close readings of Jewish horror texts.</w:t>
      </w:r>
    </w:p>
    <w:p w14:paraId="74CA943A" w14:textId="77777777" w:rsidR="0009680C" w:rsidRPr="00872318" w:rsidRDefault="0009680C" w:rsidP="0009680C">
      <w:pPr>
        <w:pStyle w:val="Heading1"/>
        <w:spacing w:line="480" w:lineRule="auto"/>
        <w:rPr>
          <w:rFonts w:ascii="Times New Roman" w:hAnsi="Times New Roman" w:cs="Times New Roman"/>
          <w:sz w:val="24"/>
          <w:szCs w:val="24"/>
          <w:lang w:val="en-US"/>
        </w:rPr>
      </w:pPr>
      <w:bookmarkStart w:id="3" w:name="_Toc51249392"/>
      <w:r w:rsidRPr="00872318">
        <w:rPr>
          <w:rFonts w:ascii="Times New Roman" w:hAnsi="Times New Roman" w:cs="Times New Roman"/>
          <w:sz w:val="24"/>
          <w:szCs w:val="24"/>
          <w:lang w:val="en-US"/>
        </w:rPr>
        <w:t>Chapter One: Franz Kafka</w:t>
      </w:r>
      <w:bookmarkEnd w:id="3"/>
    </w:p>
    <w:p w14:paraId="1AA57760" w14:textId="77777777" w:rsidR="0009680C" w:rsidRPr="00872318" w:rsidRDefault="0009680C" w:rsidP="0009680C">
      <w:pPr>
        <w:pStyle w:val="Heading2"/>
        <w:spacing w:line="480" w:lineRule="auto"/>
        <w:rPr>
          <w:rFonts w:ascii="Times New Roman" w:hAnsi="Times New Roman" w:cs="Times New Roman"/>
          <w:sz w:val="24"/>
          <w:szCs w:val="24"/>
          <w:lang w:val="en-US"/>
        </w:rPr>
      </w:pPr>
      <w:bookmarkStart w:id="4" w:name="_Toc51249393"/>
      <w:r w:rsidRPr="00872318">
        <w:rPr>
          <w:rFonts w:ascii="Times New Roman" w:hAnsi="Times New Roman" w:cs="Times New Roman"/>
          <w:sz w:val="24"/>
          <w:szCs w:val="24"/>
          <w:lang w:val="en-US"/>
        </w:rPr>
        <w:t>On Defining a ‘Jewish’ Sensibility</w:t>
      </w:r>
      <w:bookmarkEnd w:id="4"/>
    </w:p>
    <w:p w14:paraId="58E14C8E" w14:textId="77777777" w:rsidR="0009680C" w:rsidRPr="00872318" w:rsidRDefault="0009680C" w:rsidP="0009680C">
      <w:pPr>
        <w:spacing w:line="480" w:lineRule="auto"/>
        <w:rPr>
          <w:rFonts w:ascii="Times New Roman" w:hAnsi="Times New Roman" w:cs="Times New Roman"/>
          <w:color w:val="1D2936"/>
          <w:sz w:val="24"/>
          <w:szCs w:val="24"/>
        </w:rPr>
      </w:pPr>
      <w:r w:rsidRPr="00872318">
        <w:rPr>
          <w:rFonts w:ascii="Times New Roman" w:hAnsi="Times New Roman" w:cs="Times New Roman"/>
          <w:sz w:val="24"/>
          <w:szCs w:val="24"/>
        </w:rPr>
        <w:t>As with any attempt to define identity, it is important here not to resort to simplistic, static terms. Stereotypical notions of Jewish identity can often resort to narratives of victimhood based on historical suffering, anti-Semitic rhetoric, and Holocaust-centric notions of Jewish identity, all of which lead to defining Jewishness in negative, passive terms. Perhaps the epitome of this attitude is expressed by Sartre in his infamous and polarising suggestion that ‘If the Jew did not exist, the anti-Semite would invent him’.</w:t>
      </w:r>
      <w:r w:rsidRPr="00872318">
        <w:rPr>
          <w:rStyle w:val="FootnoteReference"/>
          <w:rFonts w:cs="Times New Roman"/>
          <w:sz w:val="24"/>
          <w:szCs w:val="24"/>
        </w:rPr>
        <w:footnoteReference w:id="7"/>
      </w:r>
      <w:r w:rsidRPr="00872318">
        <w:rPr>
          <w:rFonts w:ascii="Times New Roman" w:hAnsi="Times New Roman" w:cs="Times New Roman"/>
          <w:sz w:val="24"/>
          <w:szCs w:val="24"/>
        </w:rPr>
        <w:t xml:space="preserve"> Indeed, while perhaps not intentionally anti-Semitic, the invented Jew of post-war Western culture is often largely defined by their victimhood. If we subscribe to these limiting paradigms, Jewishness becomes something </w:t>
      </w:r>
      <w:r w:rsidRPr="00872318">
        <w:rPr>
          <w:rFonts w:ascii="Times New Roman" w:hAnsi="Times New Roman" w:cs="Times New Roman"/>
          <w:i/>
          <w:iCs/>
          <w:sz w:val="24"/>
          <w:szCs w:val="24"/>
        </w:rPr>
        <w:t>inflicted</w:t>
      </w:r>
      <w:r w:rsidRPr="00872318">
        <w:rPr>
          <w:rFonts w:ascii="Times New Roman" w:hAnsi="Times New Roman" w:cs="Times New Roman"/>
          <w:sz w:val="24"/>
          <w:szCs w:val="24"/>
        </w:rPr>
        <w:t xml:space="preserve"> by gentiles, an apophatic identity defined by the actions and perceptions of others. In opposition to this view, we have Henry Bial’s </w:t>
      </w:r>
      <w:r w:rsidRPr="00872318">
        <w:rPr>
          <w:rFonts w:ascii="Times New Roman" w:hAnsi="Times New Roman" w:cs="Times New Roman"/>
          <w:i/>
          <w:iCs/>
          <w:sz w:val="24"/>
          <w:szCs w:val="24"/>
        </w:rPr>
        <w:t>Acting Jewish: Negotiating Ethnicity on the American Stage and Screen</w:t>
      </w:r>
      <w:r w:rsidRPr="00872318">
        <w:rPr>
          <w:rFonts w:ascii="Times New Roman" w:hAnsi="Times New Roman" w:cs="Times New Roman"/>
          <w:sz w:val="24"/>
          <w:szCs w:val="24"/>
        </w:rPr>
        <w:t xml:space="preserve">, which provides a thoroughly convincing argument for a performative theory of Jewish identity in film. Bial suggests that rather than being a concrete identity, Jewishness is based on the tension between the specific and the universal, between being ‘Jewish enough’ and ‘too Jewish’. These competing desires, often in conversation with each other, lead to very specific performances of Jewishness in the public/creative sphere. Bial notes that ‘Judaism is a particularly </w:t>
      </w:r>
      <w:r w:rsidRPr="00872318">
        <w:rPr>
          <w:rFonts w:ascii="Times New Roman" w:hAnsi="Times New Roman" w:cs="Times New Roman"/>
          <w:i/>
          <w:iCs/>
          <w:sz w:val="24"/>
          <w:szCs w:val="24"/>
        </w:rPr>
        <w:t>performative</w:t>
      </w:r>
      <w:r w:rsidRPr="00872318">
        <w:rPr>
          <w:rFonts w:ascii="Times New Roman" w:hAnsi="Times New Roman" w:cs="Times New Roman"/>
          <w:sz w:val="24"/>
          <w:szCs w:val="24"/>
        </w:rPr>
        <w:t xml:space="preserve"> religion; that is, unlike Christianity, Judaism is more concerned with process than product, more concerned with actions than interior reiterations of faith’.</w:t>
      </w:r>
      <w:r w:rsidRPr="00872318">
        <w:rPr>
          <w:rStyle w:val="FootnoteReference"/>
          <w:rFonts w:cs="Times New Roman"/>
          <w:sz w:val="24"/>
          <w:szCs w:val="24"/>
        </w:rPr>
        <w:footnoteReference w:id="8"/>
      </w:r>
      <w:r w:rsidRPr="00872318">
        <w:rPr>
          <w:rFonts w:ascii="Times New Roman" w:hAnsi="Times New Roman" w:cs="Times New Roman"/>
          <w:sz w:val="24"/>
          <w:szCs w:val="24"/>
        </w:rPr>
        <w:t xml:space="preserve"> Bial uses the oft-cited Lenny Bruce sketch to emphasise this: ‘Dig: I’m Jewish. Count Basie’s Jewish. Ray Charles is Jewish. Eddie </w:t>
      </w:r>
      <w:r w:rsidRPr="00872318">
        <w:rPr>
          <w:rFonts w:ascii="Times New Roman" w:hAnsi="Times New Roman" w:cs="Times New Roman"/>
          <w:sz w:val="24"/>
          <w:szCs w:val="24"/>
        </w:rPr>
        <w:lastRenderedPageBreak/>
        <w:t>Cantor’s goyish. B’nai Brith is goyish; Hadassah, Jewish’, etcetera.</w:t>
      </w:r>
      <w:r w:rsidRPr="00872318">
        <w:rPr>
          <w:rStyle w:val="FootnoteReference"/>
          <w:rFonts w:cs="Times New Roman"/>
          <w:sz w:val="24"/>
          <w:szCs w:val="24"/>
        </w:rPr>
        <w:footnoteReference w:id="9"/>
      </w:r>
      <w:r w:rsidRPr="00872318">
        <w:rPr>
          <w:rFonts w:ascii="Times New Roman" w:hAnsi="Times New Roman" w:cs="Times New Roman"/>
          <w:sz w:val="24"/>
          <w:szCs w:val="24"/>
        </w:rPr>
        <w:t xml:space="preserve"> In this understanding </w:t>
      </w:r>
      <w:r w:rsidRPr="00872318">
        <w:rPr>
          <w:rFonts w:ascii="Times New Roman" w:hAnsi="Times New Roman" w:cs="Times New Roman"/>
          <w:color w:val="1D2936"/>
          <w:sz w:val="24"/>
          <w:szCs w:val="24"/>
        </w:rPr>
        <w:t>of Jewishness, Judaism itself has little to no significant impact; Jewishness is intangible, defined in vague terms as the Other, as the performance of alterity. Bial’s interpretation, then, can be argued to share a fundamental similarity with the aforementioned view expressed by Sartre: in both cases, Jewishness is defined not by Judaism or any specific aspect of identity, but rather in the nuanced and ever-fluctuating dynamics between the observer and the observed, the persecuted and persecutors.</w:t>
      </w:r>
    </w:p>
    <w:p w14:paraId="5642C3A5" w14:textId="77777777" w:rsidR="0009680C" w:rsidRPr="00872318" w:rsidRDefault="0009680C" w:rsidP="0009680C">
      <w:pPr>
        <w:spacing w:line="480" w:lineRule="auto"/>
        <w:rPr>
          <w:rFonts w:ascii="Times New Roman" w:hAnsi="Times New Roman" w:cs="Times New Roman"/>
          <w:color w:val="1D2936"/>
          <w:sz w:val="24"/>
          <w:szCs w:val="24"/>
        </w:rPr>
      </w:pPr>
      <w:r w:rsidRPr="00872318">
        <w:rPr>
          <w:rFonts w:ascii="Times New Roman" w:hAnsi="Times New Roman" w:cs="Times New Roman"/>
          <w:color w:val="1D2936"/>
          <w:sz w:val="24"/>
          <w:szCs w:val="24"/>
        </w:rPr>
        <w:tab/>
        <w:t xml:space="preserve">I intend to somewhat blend these views in my attempt to define Jewish horror. Both the anti-Semite and anti-Semitism in general, and the individual and institutional violence that often accompany them is one of the more obvious fears to be explored in Jewish horror, and it would be ignorant to completely dismiss Sartre’s interesting, if problematic, theories. Sartre’s analysis of the Jewish experience does not provide space for positively defined notions of Jewish identity and focuses largely on narratives of suffering. Horror is a genre primarily concerned with suffering, both the infliction and survival of, to refuse to discuss a historic example of Jewish suffering would create an incomplete depiction of the sub-genre. In addition to this, not all Jewish horror is written by Jews: films such as Paul Wegener’s </w:t>
      </w:r>
      <w:r w:rsidRPr="00872318">
        <w:rPr>
          <w:rFonts w:ascii="Times New Roman" w:hAnsi="Times New Roman" w:cs="Times New Roman"/>
          <w:i/>
          <w:iCs/>
          <w:color w:val="1D2936"/>
          <w:sz w:val="24"/>
          <w:szCs w:val="24"/>
        </w:rPr>
        <w:t>The Golem: How He Came into The World</w:t>
      </w:r>
      <w:r w:rsidRPr="00872318">
        <w:rPr>
          <w:rFonts w:ascii="Times New Roman" w:hAnsi="Times New Roman" w:cs="Times New Roman"/>
          <w:color w:val="1D2936"/>
          <w:sz w:val="24"/>
          <w:szCs w:val="24"/>
        </w:rPr>
        <w:t xml:space="preserve"> (1920) are examples of instances where Jewishness is literally defined by the gentile, with some anti-Semitic stereotypes most likely being depicted. If one is to use Sartre’s view as a starting point in constructing a definition, it becomes quickly apparent that this does not provide space for a definition of Jewishness in positive terms, with Jewishness becoming entirely defined in negative terms.</w:t>
      </w:r>
    </w:p>
    <w:p w14:paraId="5A586589" w14:textId="77777777" w:rsidR="0009680C" w:rsidRPr="00872318" w:rsidRDefault="0009680C" w:rsidP="0009680C">
      <w:pPr>
        <w:spacing w:line="480" w:lineRule="auto"/>
        <w:rPr>
          <w:rFonts w:ascii="Times New Roman" w:hAnsi="Times New Roman" w:cs="Times New Roman"/>
          <w:color w:val="1D2936"/>
          <w:sz w:val="24"/>
          <w:szCs w:val="24"/>
        </w:rPr>
      </w:pPr>
      <w:r w:rsidRPr="00872318">
        <w:rPr>
          <w:rFonts w:ascii="Times New Roman" w:hAnsi="Times New Roman" w:cs="Times New Roman"/>
          <w:color w:val="1D2936"/>
          <w:sz w:val="24"/>
          <w:szCs w:val="24"/>
        </w:rPr>
        <w:tab/>
        <w:t xml:space="preserve">In one of the first attempts to explore the nebulous Jewish sensibility in horror, Mikel Koven suggests that one useful model is Daniel Boyarin’s notion of ‘Jewissance’ (a </w:t>
      </w:r>
      <w:r w:rsidRPr="00872318">
        <w:rPr>
          <w:rFonts w:ascii="Times New Roman" w:hAnsi="Times New Roman" w:cs="Times New Roman"/>
          <w:color w:val="1D2936"/>
          <w:sz w:val="24"/>
          <w:szCs w:val="24"/>
        </w:rPr>
        <w:lastRenderedPageBreak/>
        <w:t>repurposing of the French term ‘</w:t>
      </w:r>
      <w:r w:rsidRPr="00872318">
        <w:rPr>
          <w:rFonts w:ascii="Times New Roman" w:hAnsi="Times New Roman" w:cs="Times New Roman"/>
          <w:i/>
          <w:iCs/>
          <w:color w:val="1D2936"/>
          <w:sz w:val="24"/>
          <w:szCs w:val="24"/>
        </w:rPr>
        <w:t>jouissance</w:t>
      </w:r>
      <w:r w:rsidRPr="00872318">
        <w:rPr>
          <w:rFonts w:ascii="Times New Roman" w:hAnsi="Times New Roman" w:cs="Times New Roman"/>
          <w:color w:val="1D2936"/>
          <w:sz w:val="24"/>
          <w:szCs w:val="24"/>
        </w:rPr>
        <w:t>’, more often used in relation to Lacanian psychoanalytic theory). While Jewish ethnicity and culture has often been erased in Hollywood, Boyarin’s notion of Jewissance indicates the ‘intense pride Jews experience when a film or TV show allows Jewish images, characters, or ideas to be expressed’ which, in the horror genre, can manifest in a variety of ways.</w:t>
      </w:r>
      <w:r w:rsidRPr="00872318">
        <w:rPr>
          <w:rStyle w:val="FootnoteReference"/>
          <w:rFonts w:cs="Times New Roman"/>
          <w:color w:val="1D2936"/>
          <w:sz w:val="24"/>
          <w:szCs w:val="24"/>
        </w:rPr>
        <w:footnoteReference w:id="10"/>
      </w:r>
      <w:r w:rsidRPr="00872318">
        <w:rPr>
          <w:rFonts w:ascii="Times New Roman" w:hAnsi="Times New Roman" w:cs="Times New Roman"/>
          <w:color w:val="1D2936"/>
          <w:sz w:val="24"/>
          <w:szCs w:val="24"/>
        </w:rPr>
        <w:t xml:space="preserve"> This can be found in themes that resonate with Jewish experiences, such as the negative impacts of Jewish/non-Jewish relations (as Sartre might suggest) or historical trauma, in moments of comedy that resemble Jewish sensibilities in that genre, or in characters who are either openly Jewish or coded as such. While this model is extremely subjective and based mostly on individual responses to narratives, it allows for a definition of Jewish horror that does not rely exclusively on what non-Jews have projected onto it.</w:t>
      </w:r>
    </w:p>
    <w:p w14:paraId="0C3C1562" w14:textId="77777777" w:rsidR="0009680C" w:rsidRPr="00872318" w:rsidRDefault="0009680C" w:rsidP="0009680C">
      <w:pPr>
        <w:pStyle w:val="Heading2"/>
        <w:spacing w:line="480" w:lineRule="auto"/>
        <w:rPr>
          <w:rFonts w:ascii="Times New Roman" w:hAnsi="Times New Roman" w:cs="Times New Roman"/>
          <w:sz w:val="24"/>
          <w:szCs w:val="24"/>
          <w:lang w:val="en-US"/>
        </w:rPr>
      </w:pPr>
      <w:bookmarkStart w:id="5" w:name="_Toc51249394"/>
      <w:r w:rsidRPr="00872318">
        <w:rPr>
          <w:rFonts w:ascii="Times New Roman" w:hAnsi="Times New Roman" w:cs="Times New Roman"/>
          <w:sz w:val="24"/>
          <w:szCs w:val="24"/>
          <w:lang w:val="en-US"/>
        </w:rPr>
        <w:t>The Horror of ‘The Metamorphosis’</w:t>
      </w:r>
      <w:bookmarkEnd w:id="5"/>
    </w:p>
    <w:p w14:paraId="780D178E" w14:textId="77777777" w:rsidR="0009680C" w:rsidRPr="00872318" w:rsidRDefault="0009680C" w:rsidP="0009680C">
      <w:pPr>
        <w:spacing w:line="480" w:lineRule="auto"/>
        <w:rPr>
          <w:rFonts w:ascii="Times New Roman" w:hAnsi="Times New Roman" w:cs="Times New Roman"/>
          <w:color w:val="1D2936"/>
          <w:sz w:val="24"/>
          <w:szCs w:val="24"/>
        </w:rPr>
      </w:pPr>
      <w:r w:rsidRPr="00872318">
        <w:rPr>
          <w:rFonts w:ascii="Times New Roman" w:hAnsi="Times New Roman" w:cs="Times New Roman"/>
          <w:sz w:val="24"/>
          <w:szCs w:val="24"/>
          <w:lang w:val="en-US"/>
        </w:rPr>
        <w:tab/>
        <w:t xml:space="preserve">An ideal example of a work containing a specifically Jewish sense of horror is Franz Kafka’s short story ‘The Metamorphosis’. The narrative </w:t>
      </w:r>
      <w:r w:rsidRPr="00872318">
        <w:rPr>
          <w:rFonts w:ascii="Times New Roman" w:hAnsi="Times New Roman" w:cs="Times New Roman"/>
          <w:sz w:val="24"/>
          <w:szCs w:val="24"/>
        </w:rPr>
        <w:t>revolves around Gregor Samsa, a young travelling salesman, who, as Kafka so comically phrases it, ‘awoke one morning from uneasy dreams [and] found himself transformed in his bed into a gigantic insect’.</w:t>
      </w:r>
      <w:r w:rsidRPr="00872318">
        <w:rPr>
          <w:rStyle w:val="FootnoteReference"/>
          <w:rFonts w:cs="Times New Roman"/>
          <w:sz w:val="24"/>
          <w:szCs w:val="24"/>
        </w:rPr>
        <w:footnoteReference w:id="11"/>
      </w:r>
      <w:r w:rsidRPr="00872318">
        <w:rPr>
          <w:rFonts w:ascii="Times New Roman" w:hAnsi="Times New Roman" w:cs="Times New Roman"/>
          <w:sz w:val="24"/>
          <w:szCs w:val="24"/>
        </w:rPr>
        <w:t xml:space="preserve"> The narrative, told from Gregor’s perspective, is darkly comic, with Kafka’s initial humouring of the absurdity of the situation quickly giving way to harrowing interpersonal conflict, with Gregor’s family failing under the joint strains of losing their breadwinner and son and gaining a giant insect, which they must care for as they would a member of the family. ‘The Metamorphosis’ ranks as one of Kafka’s most well-known and culturally significant stories, and it could easily be interpreted as a conventional horror tale. A character is rendered </w:t>
      </w:r>
      <w:r w:rsidRPr="00872318">
        <w:rPr>
          <w:rFonts w:ascii="Times New Roman" w:hAnsi="Times New Roman" w:cs="Times New Roman"/>
          <w:sz w:val="24"/>
          <w:szCs w:val="24"/>
        </w:rPr>
        <w:lastRenderedPageBreak/>
        <w:t xml:space="preserve">suddenly and immediately powerless, othered, and disfigured by a fantastical stroke of bad luck; such a fatalistic synopsis could just as easily be applied to </w:t>
      </w:r>
      <w:r w:rsidRPr="00872318">
        <w:rPr>
          <w:rFonts w:ascii="Times New Roman" w:hAnsi="Times New Roman" w:cs="Times New Roman"/>
          <w:i/>
          <w:iCs/>
          <w:sz w:val="24"/>
          <w:szCs w:val="24"/>
        </w:rPr>
        <w:t>Us</w:t>
      </w:r>
      <w:r w:rsidRPr="00872318">
        <w:rPr>
          <w:rFonts w:ascii="Times New Roman" w:hAnsi="Times New Roman" w:cs="Times New Roman"/>
          <w:sz w:val="24"/>
          <w:szCs w:val="24"/>
        </w:rPr>
        <w:t xml:space="preserve"> (2019), </w:t>
      </w:r>
      <w:r w:rsidRPr="00872318">
        <w:rPr>
          <w:rFonts w:ascii="Times New Roman" w:hAnsi="Times New Roman" w:cs="Times New Roman"/>
          <w:i/>
          <w:iCs/>
          <w:sz w:val="24"/>
          <w:szCs w:val="24"/>
        </w:rPr>
        <w:t>Videodrome</w:t>
      </w:r>
      <w:r w:rsidRPr="00872318">
        <w:rPr>
          <w:rFonts w:ascii="Times New Roman" w:hAnsi="Times New Roman" w:cs="Times New Roman"/>
          <w:sz w:val="24"/>
          <w:szCs w:val="24"/>
        </w:rPr>
        <w:t xml:space="preserve"> (1983), </w:t>
      </w:r>
      <w:r w:rsidRPr="00872318">
        <w:rPr>
          <w:rFonts w:ascii="Times New Roman" w:hAnsi="Times New Roman" w:cs="Times New Roman"/>
          <w:i/>
          <w:iCs/>
          <w:sz w:val="24"/>
          <w:szCs w:val="24"/>
        </w:rPr>
        <w:t xml:space="preserve">An American Werewolf in London </w:t>
      </w:r>
      <w:r w:rsidRPr="00872318">
        <w:rPr>
          <w:rFonts w:ascii="Times New Roman" w:hAnsi="Times New Roman" w:cs="Times New Roman"/>
          <w:sz w:val="24"/>
          <w:szCs w:val="24"/>
        </w:rPr>
        <w:t xml:space="preserve">(1981), or </w:t>
      </w:r>
      <w:r w:rsidRPr="00872318">
        <w:rPr>
          <w:rFonts w:ascii="Times New Roman" w:hAnsi="Times New Roman" w:cs="Times New Roman"/>
          <w:i/>
          <w:iCs/>
          <w:sz w:val="24"/>
          <w:szCs w:val="24"/>
        </w:rPr>
        <w:t xml:space="preserve">Carrie </w:t>
      </w:r>
      <w:r w:rsidRPr="00872318">
        <w:rPr>
          <w:rFonts w:ascii="Times New Roman" w:hAnsi="Times New Roman" w:cs="Times New Roman"/>
          <w:sz w:val="24"/>
          <w:szCs w:val="24"/>
        </w:rPr>
        <w:t xml:space="preserve">(1976). However, Kafka is more often than not interpreted as an existentialist writer, and not as an early figure in the horror genre - meanwhile, his contemporaries such as HP Lovecraft and predecessors such as Edgar Allan Poe have been acknowledged as such. While it is important to acknowledge that many cultural references to ‘The Metamorphosis’ are more closely aligned in terms of plot with George Langelaan’s short story ‘The Fly’, the themes of the latter have permeated its future adaptations. Across the spectrum of stories that re-interpret ‘The Metamorphosis’, from Philip Roth’s </w:t>
      </w:r>
      <w:r w:rsidRPr="00872318">
        <w:rPr>
          <w:rFonts w:ascii="Times New Roman" w:hAnsi="Times New Roman" w:cs="Times New Roman"/>
          <w:i/>
          <w:iCs/>
          <w:sz w:val="24"/>
          <w:szCs w:val="24"/>
        </w:rPr>
        <w:t>The Breast</w:t>
      </w:r>
      <w:r w:rsidRPr="00872318">
        <w:rPr>
          <w:rFonts w:ascii="Times New Roman" w:hAnsi="Times New Roman" w:cs="Times New Roman"/>
          <w:sz w:val="24"/>
          <w:szCs w:val="24"/>
        </w:rPr>
        <w:t xml:space="preserve"> to David Cronenberg’s </w:t>
      </w:r>
      <w:r w:rsidRPr="00872318">
        <w:rPr>
          <w:rFonts w:ascii="Times New Roman" w:hAnsi="Times New Roman" w:cs="Times New Roman"/>
          <w:i/>
          <w:iCs/>
          <w:sz w:val="24"/>
          <w:szCs w:val="24"/>
        </w:rPr>
        <w:t>The Fly</w:t>
      </w:r>
      <w:r w:rsidRPr="00872318">
        <w:rPr>
          <w:rFonts w:ascii="Times New Roman" w:hAnsi="Times New Roman" w:cs="Times New Roman"/>
          <w:sz w:val="24"/>
          <w:szCs w:val="24"/>
        </w:rPr>
        <w:t xml:space="preserve"> to </w:t>
      </w:r>
      <w:r w:rsidRPr="00872318">
        <w:rPr>
          <w:rFonts w:ascii="Times New Roman" w:hAnsi="Times New Roman" w:cs="Times New Roman"/>
          <w:i/>
          <w:iCs/>
          <w:sz w:val="24"/>
          <w:szCs w:val="24"/>
        </w:rPr>
        <w:t>The Simpson</w:t>
      </w:r>
      <w:r w:rsidRPr="00872318">
        <w:rPr>
          <w:rFonts w:ascii="Times New Roman" w:hAnsi="Times New Roman" w:cs="Times New Roman"/>
          <w:sz w:val="24"/>
          <w:szCs w:val="24"/>
        </w:rPr>
        <w:t>s’ ‘Treehouse of Horror Episode VIII’, there is a focus on the everyday, mundane elements of the story, and on how life moves on after such a transformation. For Gregor, this is demonstrated in the significant amount of space in the narrative given over to the banality of his everyday routines and care (‘In this manner Gregor was fed, once in the early morning while his parents and the servant girl were still asleep, and a second time after they had all had their midday dinner…’).</w:t>
      </w:r>
      <w:r w:rsidRPr="00872318">
        <w:rPr>
          <w:rStyle w:val="FootnoteReference"/>
          <w:rFonts w:cs="Times New Roman"/>
          <w:sz w:val="24"/>
          <w:szCs w:val="24"/>
        </w:rPr>
        <w:footnoteReference w:id="12"/>
      </w:r>
      <w:r w:rsidRPr="00872318">
        <w:rPr>
          <w:rFonts w:ascii="Times New Roman" w:hAnsi="Times New Roman" w:cs="Times New Roman"/>
          <w:sz w:val="24"/>
          <w:szCs w:val="24"/>
        </w:rPr>
        <w:t xml:space="preserve"> Readers of these Metamorphosis-inspired texts are encouraged not to question how or why these events happened, but to observe the consequences. The focus lies not with the interruption itself, but with what is interrupted, namely familial relationships and pre-existing power dynamics of Gregor’s home and work lives. </w:t>
      </w:r>
      <w:r w:rsidRPr="00872318">
        <w:rPr>
          <w:rFonts w:ascii="Times New Roman" w:hAnsi="Times New Roman" w:cs="Times New Roman"/>
          <w:color w:val="1D2936"/>
          <w:sz w:val="24"/>
          <w:szCs w:val="24"/>
        </w:rPr>
        <w:t xml:space="preserve">As a genre, horror thrives on the blurring of boundaries and the disruption of stable entities. Be it the family, the home, power structures, or even questions of life and death, what may seem defined and balanced on the surface is often quickly dismantled and shaken to the core by external and internal threats. Audience’s fears seem to err towards the conservative: we are terrified by the notion that all sense of normality and structure might one day vanish. In ‘The Metamorphosis’, this </w:t>
      </w:r>
      <w:r w:rsidRPr="00872318">
        <w:rPr>
          <w:rFonts w:ascii="Times New Roman" w:hAnsi="Times New Roman" w:cs="Times New Roman"/>
          <w:color w:val="1D2936"/>
          <w:sz w:val="24"/>
          <w:szCs w:val="24"/>
        </w:rPr>
        <w:lastRenderedPageBreak/>
        <w:t>is exactly what happens. The transition is not a violent one, and therefore the fantastical nature of the scenario is made somewhat more realistic and easier to empathise with.</w:t>
      </w:r>
    </w:p>
    <w:p w14:paraId="294DA351"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color w:val="1D2936"/>
          <w:sz w:val="24"/>
          <w:szCs w:val="24"/>
        </w:rPr>
        <w:tab/>
        <w:t>As a Jewish writer in the existentialist school, Kafka’s work has often been limited only to the philosophical, with many ignoring the relevance and influence of his work in the modern horror genre.</w:t>
      </w:r>
      <w:r w:rsidRPr="00872318">
        <w:rPr>
          <w:rFonts w:ascii="Times New Roman" w:hAnsi="Times New Roman" w:cs="Times New Roman"/>
          <w:sz w:val="24"/>
          <w:szCs w:val="24"/>
        </w:rPr>
        <w:t xml:space="preserve"> Works such as ‘In The Penal Colony’ have far more in common with conventional modern horror than anything else: this particular story could even be seen as a critique of the modern horror sub-genre of ‘torture-porn’ and its hyper-focus on the gory spectacle of death (‘So it [the Harrow] keeps on writing deeper and deeper for the whole twelve hours. The first six hours the condemned man stays alive almost as before, he suffers only pain’).</w:t>
      </w:r>
      <w:r w:rsidRPr="00872318">
        <w:rPr>
          <w:rStyle w:val="FootnoteReference"/>
          <w:rFonts w:cs="Times New Roman"/>
          <w:sz w:val="24"/>
          <w:szCs w:val="24"/>
        </w:rPr>
        <w:footnoteReference w:id="13"/>
      </w:r>
      <w:r w:rsidRPr="00872318">
        <w:rPr>
          <w:rFonts w:ascii="Times New Roman" w:hAnsi="Times New Roman" w:cs="Times New Roman"/>
          <w:sz w:val="24"/>
          <w:szCs w:val="24"/>
        </w:rPr>
        <w:t xml:space="preserve"> On the other hand, stories like ‘A Country Doctor’ embody a different kind of horror, with Kafka depicting the fragile sanity of a doctor who is suddenly embraced by a remote community and descends into a nightmare of Freudian symbolism and viscera (‘Worms, as thick and as long as my little finger, themselves rose-red and blood-spotted as well, were wriggling from their fastness in the interior of the wound toward the light, with small white heads and many legs’).</w:t>
      </w:r>
      <w:r w:rsidRPr="00872318">
        <w:rPr>
          <w:rStyle w:val="FootnoteReference"/>
          <w:rFonts w:cs="Times New Roman"/>
          <w:sz w:val="24"/>
          <w:szCs w:val="24"/>
        </w:rPr>
        <w:footnoteReference w:id="14"/>
      </w:r>
      <w:r w:rsidRPr="00872318">
        <w:rPr>
          <w:rFonts w:ascii="Times New Roman" w:hAnsi="Times New Roman" w:cs="Times New Roman"/>
          <w:sz w:val="24"/>
          <w:szCs w:val="24"/>
        </w:rPr>
        <w:t xml:space="preserve"> While perhaps not true of the entirety of Kafka’s body of work, several of his stories can fit neatly into the horror genre, and in analysing them, we can hope to gain an insight into the specific sense of Jewishness in these early horror texts, through themes of alienation, depictions of suffering, and Kafka’s unique social commentary.</w:t>
      </w:r>
    </w:p>
    <w:p w14:paraId="227F104D"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tab/>
        <w:t xml:space="preserve">Perhaps the true horror of ‘The Metamorphosis’ is the notion that anyone, no matter how dutiful they are to their family or to a capitalist system, can be irrevocably ‘othered’. Gregor’s ‘othering’ is instant; his family and employer recoil from him in absolute horror, with only his sister able to stomach attending to him. At first, Kafka treats this othering with an absurdist sense of bemusement, with Gregor, knowing his state, suggesting ‘“Well… I’ll </w:t>
      </w:r>
      <w:r w:rsidRPr="00872318">
        <w:rPr>
          <w:rFonts w:ascii="Times New Roman" w:hAnsi="Times New Roman" w:cs="Times New Roman"/>
          <w:sz w:val="24"/>
          <w:szCs w:val="24"/>
        </w:rPr>
        <w:lastRenderedPageBreak/>
        <w:t>put my clothes on at once, pack up my samples, and start off. Will you only let me go? You see, sir, I’m not obstinate, and I’m willing to work”’.</w:t>
      </w:r>
      <w:r w:rsidRPr="00872318">
        <w:rPr>
          <w:rStyle w:val="FootnoteReference"/>
          <w:rFonts w:cs="Times New Roman"/>
          <w:sz w:val="24"/>
          <w:szCs w:val="24"/>
        </w:rPr>
        <w:footnoteReference w:id="15"/>
      </w:r>
      <w:r w:rsidRPr="00872318">
        <w:rPr>
          <w:rFonts w:ascii="Times New Roman" w:hAnsi="Times New Roman" w:cs="Times New Roman"/>
          <w:sz w:val="24"/>
          <w:szCs w:val="24"/>
        </w:rPr>
        <w:t xml:space="preserve"> The absurd sense of humour that Kafka adopts in the early pages of ‘The Metamorphosis’ leads us to a dark inversion of the Jew as a comic figure in horror. In ‘“Canyons of Nightmare”: The Jewish Horror Film’ by Lester D. Friedman, the author briefly explores the unique blend of horror and humour by Jewish writers, citing sympathy for the monster as a key tenet of Jewish horror-comedy such as Mel Brooks’ ‘Young Frankenstein’ and Frank Oz’s ‘Little Shop of Horrors’.</w:t>
      </w:r>
      <w:r w:rsidRPr="00872318">
        <w:rPr>
          <w:rStyle w:val="FootnoteReference"/>
          <w:rFonts w:cs="Times New Roman"/>
          <w:sz w:val="24"/>
          <w:szCs w:val="24"/>
        </w:rPr>
        <w:footnoteReference w:id="16"/>
      </w:r>
      <w:r w:rsidRPr="00872318">
        <w:rPr>
          <w:rFonts w:ascii="Times New Roman" w:hAnsi="Times New Roman" w:cs="Times New Roman"/>
          <w:sz w:val="24"/>
          <w:szCs w:val="24"/>
        </w:rPr>
        <w:t xml:space="preserve"> Friedman suggests that this is due to a sense of comic alienation in Jewish writers that leads them to sympathise more with outcasts than with the typical key figures of the narratives. In these works of Jewish horror-comedy, levity is brought to the horror by empathy with the entity who might usually be considered a villain. In ‘The Metamorphosis’, Kafka inverts this to an extent, establishing a more conventional tragic horror narrative, but retaining the uniquely Jewish sense of humour Friedman explores. Here, Gregor begins his narrative as something of a sympathetic, comic figure, only for the tragedy of his narrative to be uncovered almost immediately. There is something specifically Jewish about these depictions in horror, but I would argue that it is not the ironic and often absurd sense of humour that defines Jewish horror. While satirical in places, the works explored in this thesis are rarely humorous for very long, with only brief moments of levity distracting from the abundant horrors, and tend to lean more towards terror than humour. Instead it is the sympathy for the monster that indicates a specifically Jewish horror, which is often embodied through comedy – Victor and the creature’s tap-dance to ‘Puttin’ On The Ritz’ or Gregor’s immediate impulse to get back to work. If we adhere to Robin Wood’s definition of horror as a scenario in which ‘normality is attacked by the monster’, with the relationship between the two determining the specifics </w:t>
      </w:r>
      <w:r w:rsidRPr="00872318">
        <w:rPr>
          <w:rFonts w:ascii="Times New Roman" w:hAnsi="Times New Roman" w:cs="Times New Roman"/>
          <w:sz w:val="24"/>
          <w:szCs w:val="24"/>
        </w:rPr>
        <w:lastRenderedPageBreak/>
        <w:t>of what type of horror tale any particular story is, perhaps Jewish horror is a horror in which the monster is attacked by normality.</w:t>
      </w:r>
      <w:r w:rsidRPr="00872318">
        <w:rPr>
          <w:rStyle w:val="FootnoteReference"/>
          <w:rFonts w:cs="Times New Roman"/>
          <w:sz w:val="24"/>
          <w:szCs w:val="24"/>
        </w:rPr>
        <w:footnoteReference w:id="17"/>
      </w:r>
      <w:r w:rsidRPr="00872318">
        <w:rPr>
          <w:rFonts w:ascii="Times New Roman" w:hAnsi="Times New Roman" w:cs="Times New Roman"/>
          <w:sz w:val="24"/>
          <w:szCs w:val="24"/>
        </w:rPr>
        <w:t xml:space="preserve"> In efforts to re-establish a status quo, the monster, who is chiefly a sympathetic figure, is the one who becomes victimised, alienated by a conservative normality that does not accept deviations from the Christian norm. </w:t>
      </w:r>
    </w:p>
    <w:p w14:paraId="7FA12473"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The fear of being othered permeates ‘The Metamorphosis’, particularly with Kafka’s depiction of Gregor’s father. Kafka describes how ‘his father persisted in keeping his uniform on even in the house… and he slept fully dressed where he sat’, with Gregor noting the sad irony that ‘his uniform, which was not brand-new to start with, began to look dirty, despite all the loving care of the mother and sister to keep it clean’.</w:t>
      </w:r>
      <w:r w:rsidRPr="00872318">
        <w:rPr>
          <w:rStyle w:val="FootnoteReference"/>
          <w:rFonts w:cs="Times New Roman"/>
          <w:sz w:val="24"/>
          <w:szCs w:val="24"/>
        </w:rPr>
        <w:footnoteReference w:id="18"/>
      </w:r>
      <w:r w:rsidRPr="00872318">
        <w:rPr>
          <w:rFonts w:ascii="Times New Roman" w:hAnsi="Times New Roman" w:cs="Times New Roman"/>
          <w:sz w:val="24"/>
          <w:szCs w:val="24"/>
        </w:rPr>
        <w:t xml:space="preserve"> Gregor’s othering is visual and impossible to avoid, but still he clings to the pretence of going to work and re-establishing, as previously mentioned. Gregor’s father’s insistence on wearing his uniform at all times mirrors this desperation to avoid being a visual ‘other’: if he refuses to ever change out of his uniform, how can the world ever see him as anything but a devoted worker? While the irony of the uniform becoming constantly shabbier is likely not lost on most readers, this compulsive desire to not be perceived visually as the other is a theme that reverberates throughout Jewish fiction (one need only look at Arthur Miller’s novel ‘Focus’ to see another example of certain visual cues being coded as Jewish and therefore other). In addition to this, Iris Bruce suggests that while Kafka never draws an obvious parallel between the vermin metaphor and anti-Semitic discourse, textual evidence for such an interpretation is present. By the end of the narrative, Gregor has been dehumanised, and associated with uncleanliness and animalism, literally becoming the stereotypical expression ‘dirty Jew’.</w:t>
      </w:r>
      <w:r w:rsidRPr="00872318">
        <w:rPr>
          <w:rStyle w:val="FootnoteReference"/>
          <w:rFonts w:cs="Times New Roman"/>
          <w:sz w:val="24"/>
          <w:szCs w:val="24"/>
        </w:rPr>
        <w:footnoteReference w:id="19"/>
      </w:r>
      <w:r w:rsidRPr="00872318">
        <w:rPr>
          <w:rFonts w:ascii="Times New Roman" w:hAnsi="Times New Roman" w:cs="Times New Roman"/>
          <w:sz w:val="24"/>
          <w:szCs w:val="24"/>
        </w:rPr>
        <w:t xml:space="preserve"> On top of this, his occupation as a travelling salesman links to the ‘wandering Jew’ archetype and anti-</w:t>
      </w:r>
      <w:r w:rsidRPr="00872318">
        <w:rPr>
          <w:rFonts w:ascii="Times New Roman" w:hAnsi="Times New Roman" w:cs="Times New Roman"/>
          <w:sz w:val="24"/>
          <w:szCs w:val="24"/>
        </w:rPr>
        <w:lastRenderedPageBreak/>
        <w:t>Semitic notions of the ‘rootless cosmopolitan’ that was prevalent in pre-Holocaust Europe.</w:t>
      </w:r>
      <w:r w:rsidRPr="00872318">
        <w:rPr>
          <w:rStyle w:val="FootnoteReference"/>
          <w:rFonts w:cs="Times New Roman"/>
          <w:sz w:val="24"/>
          <w:szCs w:val="24"/>
        </w:rPr>
        <w:footnoteReference w:id="20"/>
      </w:r>
      <w:r w:rsidRPr="00872318">
        <w:rPr>
          <w:rFonts w:ascii="Times New Roman" w:hAnsi="Times New Roman" w:cs="Times New Roman"/>
          <w:sz w:val="24"/>
          <w:szCs w:val="24"/>
        </w:rPr>
        <w:t xml:space="preserve"> If we are to use a blended approach to Jewish identity in horror, embracing both performative and external models, the exploration of visual coding in ‘The Metamorphosis’ could be seen as a fearful interpretation of performative identity. Kafka depicts characters who strive to perform very specific identities as workers, but ultimately and ironically it is their performance that exposes them. Kafka presents the idea that regardless of the performance, there is no avoiding the eye of the anti-Semite, and that performative identities can be exposed at any time. In the case of Gregor’s father, this exposes his economic instability and desperation; with Gregor himself, this exposes the dark, anti-Semitic idea that he is perhaps sub-human.</w:t>
      </w:r>
    </w:p>
    <w:p w14:paraId="64003EBF"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Another crucial element of the Jewishness of the horror in The Metamorphosis is Kafka’s absolute rejection of spectacle. In a note to his publisher, Kafka was careful to specify that the cover-art for the story should not depict any specific insect.</w:t>
      </w:r>
      <w:r w:rsidRPr="00872318">
        <w:rPr>
          <w:rStyle w:val="FootnoteReference"/>
          <w:rFonts w:cs="Times New Roman"/>
          <w:sz w:val="24"/>
          <w:szCs w:val="24"/>
        </w:rPr>
        <w:footnoteReference w:id="21"/>
      </w:r>
      <w:r w:rsidRPr="00872318">
        <w:rPr>
          <w:rFonts w:ascii="Times New Roman" w:hAnsi="Times New Roman" w:cs="Times New Roman"/>
          <w:sz w:val="24"/>
          <w:szCs w:val="24"/>
        </w:rPr>
        <w:t xml:space="preserve"> Similarly, in the text, Kafka remains vague with regards to describing the insect Gregor becomes, with descriptions limited mostly to ‘his hard, as it were armor-plated, back’, a ‘domelike brown belly divided into stiff arched segments’, and ‘numerous legs’.</w:t>
      </w:r>
      <w:r w:rsidRPr="00872318">
        <w:rPr>
          <w:rStyle w:val="FootnoteReference"/>
          <w:rFonts w:cs="Times New Roman"/>
          <w:sz w:val="24"/>
          <w:szCs w:val="24"/>
        </w:rPr>
        <w:footnoteReference w:id="22"/>
      </w:r>
      <w:r w:rsidRPr="00872318">
        <w:rPr>
          <w:rFonts w:ascii="Times New Roman" w:hAnsi="Times New Roman" w:cs="Times New Roman"/>
          <w:sz w:val="24"/>
          <w:szCs w:val="24"/>
        </w:rPr>
        <w:t xml:space="preserve"> While readers may assume Gregor’s appearance, Kafka refuses to grant the spectacle of confirming these assumptions. This contributes to creating an aniconic voice in ‘The Metamorphosis’, rejecting the iconography and symbols that we see so often in gentile and Christian horror. Kafka’s narrative voice therefore rejects the Christian mode of visualising narrative in favour of a Jewish mode, focusing more on description than direct representation. Here, it could be argued that the aniconic is a specifically Jewish tradition, as it corresponds both with </w:t>
      </w:r>
      <w:r w:rsidRPr="00872318">
        <w:rPr>
          <w:rFonts w:ascii="Times New Roman" w:hAnsi="Times New Roman" w:cs="Times New Roman"/>
          <w:sz w:val="24"/>
          <w:szCs w:val="24"/>
        </w:rPr>
        <w:lastRenderedPageBreak/>
        <w:t>Talmudic oppositions to false idols and the social need to obscure Jewish themes and narratives within more mainstream works. Bial argues that Jewish-American artists do not have the privilege of transparency in their works due to their status as a marginalised community, and we can easily apply this to ‘The Metamorphosis’.</w:t>
      </w:r>
      <w:r w:rsidRPr="00872318">
        <w:rPr>
          <w:rStyle w:val="FootnoteReference"/>
          <w:rFonts w:cs="Times New Roman"/>
          <w:sz w:val="24"/>
          <w:szCs w:val="24"/>
        </w:rPr>
        <w:footnoteReference w:id="23"/>
      </w:r>
      <w:r w:rsidRPr="00872318">
        <w:rPr>
          <w:rFonts w:ascii="Times New Roman" w:hAnsi="Times New Roman" w:cs="Times New Roman"/>
          <w:sz w:val="24"/>
          <w:szCs w:val="24"/>
        </w:rPr>
        <w:t xml:space="preserve"> Bial and Omar Bartov both point to a growing trend in the late 20</w:t>
      </w:r>
      <w:r w:rsidRPr="00872318">
        <w:rPr>
          <w:rFonts w:ascii="Times New Roman" w:hAnsi="Times New Roman" w:cs="Times New Roman"/>
          <w:sz w:val="24"/>
          <w:szCs w:val="24"/>
          <w:vertAlign w:val="superscript"/>
        </w:rPr>
        <w:t>th</w:t>
      </w:r>
      <w:r w:rsidRPr="00872318">
        <w:rPr>
          <w:rFonts w:ascii="Times New Roman" w:hAnsi="Times New Roman" w:cs="Times New Roman"/>
          <w:sz w:val="24"/>
          <w:szCs w:val="24"/>
        </w:rPr>
        <w:t xml:space="preserve"> century of Jewish identity being normalised on screen through characters and scenarios that feature few overt references to Judaism, but give viewers a vague sense of ‘Jewishness’, perhaps most notably with Bial’s example of the sitcom </w:t>
      </w:r>
      <w:r w:rsidRPr="00872318">
        <w:rPr>
          <w:rFonts w:ascii="Times New Roman" w:hAnsi="Times New Roman" w:cs="Times New Roman"/>
          <w:i/>
          <w:iCs/>
          <w:sz w:val="24"/>
          <w:szCs w:val="24"/>
        </w:rPr>
        <w:t>Seinfeld</w:t>
      </w:r>
      <w:r w:rsidRPr="00872318">
        <w:rPr>
          <w:rFonts w:ascii="Times New Roman" w:hAnsi="Times New Roman" w:cs="Times New Roman"/>
          <w:sz w:val="24"/>
          <w:szCs w:val="24"/>
        </w:rPr>
        <w:t>.</w:t>
      </w:r>
      <w:r w:rsidRPr="00872318">
        <w:rPr>
          <w:rStyle w:val="FootnoteReference"/>
          <w:rFonts w:cs="Times New Roman"/>
          <w:sz w:val="24"/>
          <w:szCs w:val="24"/>
        </w:rPr>
        <w:footnoteReference w:id="24"/>
      </w:r>
      <w:r w:rsidRPr="00872318">
        <w:rPr>
          <w:rFonts w:ascii="Times New Roman" w:hAnsi="Times New Roman" w:cs="Times New Roman"/>
          <w:sz w:val="24"/>
          <w:szCs w:val="24"/>
        </w:rPr>
        <w:t xml:space="preserve"> Before such depictions were commonplace and in a far more aggressively anti-Semitic environment, the more subtle indicators of Jewishness, such as the aniconic voice aid in smuggling Jewish undertones into the text and interrogating anti-Semitism in early 1900s Europe. By maintaining this aniconic voice, Kafka again encourages the reader to sympathise with his unwilling monster: we are unable to discriminate against him in the same way as those who can ‘see’ him within the narrative, and therefore a counter-narrative is offered to his dehumanisation. In addition to this, Kafka is able to circumvent the need for specifically Jewish iconography, and instead establishes Jewish subtext via his use of an aniconic narrative voice. </w:t>
      </w:r>
    </w:p>
    <w:p w14:paraId="7873FFAC" w14:textId="77777777" w:rsidR="0009680C" w:rsidRPr="00872318" w:rsidRDefault="0009680C" w:rsidP="0009680C">
      <w:pPr>
        <w:spacing w:line="480" w:lineRule="auto"/>
        <w:ind w:firstLine="720"/>
        <w:rPr>
          <w:rStyle w:val="CommentReference"/>
          <w:rFonts w:ascii="Times New Roman" w:hAnsi="Times New Roman" w:cs="Times New Roman"/>
          <w:sz w:val="24"/>
          <w:szCs w:val="24"/>
        </w:rPr>
      </w:pPr>
      <w:r w:rsidRPr="00872318">
        <w:rPr>
          <w:rFonts w:ascii="Times New Roman" w:hAnsi="Times New Roman" w:cs="Times New Roman"/>
          <w:sz w:val="24"/>
          <w:szCs w:val="24"/>
        </w:rPr>
        <w:t xml:space="preserve">What is perhaps less clear, however, is </w:t>
      </w:r>
      <w:r w:rsidRPr="00872318">
        <w:rPr>
          <w:rFonts w:ascii="Times New Roman" w:hAnsi="Times New Roman" w:cs="Times New Roman"/>
          <w:i/>
          <w:iCs/>
          <w:sz w:val="24"/>
          <w:szCs w:val="24"/>
        </w:rPr>
        <w:t>why</w:t>
      </w:r>
      <w:r w:rsidRPr="00872318">
        <w:rPr>
          <w:rFonts w:ascii="Times New Roman" w:hAnsi="Times New Roman" w:cs="Times New Roman"/>
          <w:sz w:val="24"/>
          <w:szCs w:val="24"/>
        </w:rPr>
        <w:t xml:space="preserve"> Kafka does this and what we can infer about Jewish horror from the use of the aniconic voice. If we compare aniconic and iconic depictions of suffering, for the latter, one might imagine the Catholic iconography of martyrdom. Catholic art surrounding figures such as St Sebastian, the patron saint of holy deaths, focuses on the beauty in suffering, the sacred experience of martyrs whose pain brings them closer to God. Little to no thought is afforded to the realities of such suffering: repulsive bodily fluids, tremendous amounts of pain, and the varied guts and gore one might </w:t>
      </w:r>
      <w:r w:rsidRPr="00872318">
        <w:rPr>
          <w:rFonts w:ascii="Times New Roman" w:hAnsi="Times New Roman" w:cs="Times New Roman"/>
          <w:sz w:val="24"/>
          <w:szCs w:val="24"/>
        </w:rPr>
        <w:lastRenderedPageBreak/>
        <w:t xml:space="preserve">typically associate with the horror genre. While there are films such as Pascal Laugier’s </w:t>
      </w:r>
      <w:r w:rsidRPr="00872318">
        <w:rPr>
          <w:rFonts w:ascii="Times New Roman" w:hAnsi="Times New Roman" w:cs="Times New Roman"/>
          <w:i/>
          <w:iCs/>
          <w:sz w:val="24"/>
          <w:szCs w:val="24"/>
        </w:rPr>
        <w:t>Martyrs</w:t>
      </w:r>
      <w:r w:rsidRPr="00872318">
        <w:rPr>
          <w:rFonts w:ascii="Times New Roman" w:hAnsi="Times New Roman" w:cs="Times New Roman"/>
          <w:sz w:val="24"/>
          <w:szCs w:val="24"/>
        </w:rPr>
        <w:t xml:space="preserve"> (2009) which explore the physical, political, and emotional complexities of suffering, these are few and far between, and are widely considered too distressing to be within mainstream horror fare. Death and its associated spectacle in mainstream art is rarely explored in terms of the visceral realities: what Julia Kristeva would consider the abject elements of death (the aforementioned bodily fluids, guts, and gore), are rather oddly disregarded in much mainstream modern horror, with deaths made so rote that they are often robbed of their true terror. Indeed, much has been made both within criticism and the genre itself of the ways in which women’s deaths are needlessly sexualised and aestheticized in horror. These operatic, aestheticized depictions certainly bear more resemblance to Catholic art, with suffering being elevated to the level of the sacred, and the realities of such suffering being side-lined. Therefore, one might infer the reverse from Kafka’s aniconic voice. Kafka refuses to provide readers with an explanation for Gregor’s transformation, keeping the magical, mystical, and possibly religious elements of it completely irrelevant to the narrative. Kafka also depicts the abject elements of Gregor’s post-metamorphosis life through his focus on the mundanity of his existence. The reader is made to pay attention to the squalor in which Gregor lives (‘he left traces behind him of the sticky stuff on his soles’, ‘his warm room…turned into a naked den’) and to face the abject elements of his slow decay and death.</w:t>
      </w:r>
      <w:r w:rsidRPr="00872318">
        <w:rPr>
          <w:rStyle w:val="FootnoteReference"/>
          <w:rFonts w:cs="Times New Roman"/>
          <w:sz w:val="24"/>
          <w:szCs w:val="24"/>
        </w:rPr>
        <w:footnoteReference w:id="25"/>
      </w:r>
      <w:r w:rsidRPr="00872318">
        <w:rPr>
          <w:rFonts w:ascii="Times New Roman" w:hAnsi="Times New Roman" w:cs="Times New Roman"/>
          <w:sz w:val="24"/>
          <w:szCs w:val="24"/>
        </w:rPr>
        <w:t xml:space="preserve"> In ‘The Metamorphosis’, Gregor’s suffering is not noble, nor poetic, nor aestheticized; it is simply suffering, and is thus attended with everything that suffering entails.</w:t>
      </w:r>
    </w:p>
    <w:p w14:paraId="152464F8" w14:textId="77777777" w:rsidR="0009680C" w:rsidRPr="00872318" w:rsidRDefault="0009680C" w:rsidP="0009680C">
      <w:pPr>
        <w:spacing w:line="480" w:lineRule="auto"/>
        <w:ind w:firstLine="720"/>
        <w:rPr>
          <w:rFonts w:ascii="Times New Roman" w:hAnsi="Times New Roman" w:cs="Times New Roman"/>
          <w:sz w:val="24"/>
          <w:szCs w:val="24"/>
          <w:lang w:val="en-US"/>
        </w:rPr>
      </w:pPr>
      <w:r w:rsidRPr="00872318">
        <w:rPr>
          <w:rFonts w:ascii="Times New Roman" w:hAnsi="Times New Roman" w:cs="Times New Roman"/>
          <w:sz w:val="24"/>
          <w:szCs w:val="24"/>
          <w:lang w:val="en-US"/>
        </w:rPr>
        <w:t xml:space="preserve"> The overall ‘Jewish’ sensibility of ‘The Metamorphosis’ comes as a result of many concurrent elements. Not only are Kafka’s themes of otherness and alienation more closely aligned with Jewish experience than Christian, but they are conveyed using narrative devices </w:t>
      </w:r>
      <w:r w:rsidRPr="00872318">
        <w:rPr>
          <w:rFonts w:ascii="Times New Roman" w:hAnsi="Times New Roman" w:cs="Times New Roman"/>
          <w:sz w:val="24"/>
          <w:szCs w:val="24"/>
          <w:lang w:val="en-US"/>
        </w:rPr>
        <w:lastRenderedPageBreak/>
        <w:t>more in line with Jewish narrative traditions, including the aniconic voice and a distinct refusal to engage in spectacle or aesthetics of suffering.</w:t>
      </w:r>
    </w:p>
    <w:p w14:paraId="30423EC2" w14:textId="77777777" w:rsidR="0009680C" w:rsidRPr="00872318" w:rsidRDefault="0009680C" w:rsidP="0009680C">
      <w:pPr>
        <w:pStyle w:val="Heading2"/>
        <w:spacing w:line="480" w:lineRule="auto"/>
        <w:rPr>
          <w:rFonts w:ascii="Times New Roman" w:hAnsi="Times New Roman" w:cs="Times New Roman"/>
          <w:sz w:val="24"/>
          <w:szCs w:val="24"/>
          <w:lang w:val="en-US"/>
        </w:rPr>
      </w:pPr>
      <w:bookmarkStart w:id="6" w:name="_Toc51249395"/>
      <w:r w:rsidRPr="00872318">
        <w:rPr>
          <w:rFonts w:ascii="Times New Roman" w:hAnsi="Times New Roman" w:cs="Times New Roman"/>
          <w:sz w:val="24"/>
          <w:szCs w:val="24"/>
          <w:lang w:val="en-US"/>
        </w:rPr>
        <w:t>Lost in Translation</w:t>
      </w:r>
      <w:bookmarkEnd w:id="6"/>
    </w:p>
    <w:p w14:paraId="786E68F2"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In constructing a working definition of Jewish horror, it is a useful exercise to contrast these works with their counterparts across the horror spectrum. While it is perhaps most obvious to find these comparisons in the work of Christian writers, as explored in my introductory examples of </w:t>
      </w:r>
      <w:r w:rsidRPr="00872318">
        <w:rPr>
          <w:rFonts w:ascii="Times New Roman" w:hAnsi="Times New Roman" w:cs="Times New Roman"/>
          <w:i/>
          <w:iCs/>
          <w:sz w:val="24"/>
          <w:szCs w:val="24"/>
        </w:rPr>
        <w:t>The Exorcist</w:t>
      </w:r>
      <w:r w:rsidRPr="00872318">
        <w:rPr>
          <w:rFonts w:ascii="Times New Roman" w:hAnsi="Times New Roman" w:cs="Times New Roman"/>
          <w:sz w:val="24"/>
          <w:szCs w:val="24"/>
        </w:rPr>
        <w:t xml:space="preserve"> and </w:t>
      </w:r>
      <w:r w:rsidRPr="00872318">
        <w:rPr>
          <w:rFonts w:ascii="Times New Roman" w:hAnsi="Times New Roman" w:cs="Times New Roman"/>
          <w:i/>
          <w:iCs/>
          <w:sz w:val="24"/>
          <w:szCs w:val="24"/>
        </w:rPr>
        <w:t>A Nightmare on Elm Street</w:t>
      </w:r>
      <w:r w:rsidRPr="00872318">
        <w:rPr>
          <w:rFonts w:ascii="Times New Roman" w:hAnsi="Times New Roman" w:cs="Times New Roman"/>
          <w:sz w:val="24"/>
          <w:szCs w:val="24"/>
        </w:rPr>
        <w:t xml:space="preserve">, there are also fruitful comparisons to be made with other Jewish creators. Not all Jewish writers and filmmakers are religiously devout or may identify as Jewish while being atheist or agnostic in belief, and therefore it is important to identify case studies in which religion is removed from the equation in both a Jewish version of a particular horror tale and its somewhat non-Jewish equivalent. An apt example of this is in the opportunities for comparison between Kafka’s ‘The Metamorphosis’ and David Cronenberg’s </w:t>
      </w:r>
      <w:r w:rsidRPr="00872318">
        <w:rPr>
          <w:rFonts w:ascii="Times New Roman" w:hAnsi="Times New Roman" w:cs="Times New Roman"/>
          <w:i/>
          <w:iCs/>
          <w:sz w:val="24"/>
          <w:szCs w:val="24"/>
        </w:rPr>
        <w:t>The Fly</w:t>
      </w:r>
      <w:r w:rsidRPr="00872318">
        <w:rPr>
          <w:rFonts w:ascii="Times New Roman" w:hAnsi="Times New Roman" w:cs="Times New Roman"/>
          <w:sz w:val="24"/>
          <w:szCs w:val="24"/>
        </w:rPr>
        <w:t>. The two stories share some basic tenets: through what is mostly unfortunate coincidence, a man is transformed into a gigantic insect against his will, and this impacts not only his relationship with his own body, but also with his loved ones. In addition to this, both Franz Kafka and David Cronenberg are Jewish, with the latter admitting publicly that he does not identify with his Judaism.</w:t>
      </w:r>
      <w:r w:rsidRPr="00872318">
        <w:rPr>
          <w:rStyle w:val="FootnoteReference"/>
          <w:rFonts w:cs="Times New Roman"/>
          <w:sz w:val="24"/>
          <w:szCs w:val="24"/>
        </w:rPr>
        <w:footnoteReference w:id="26"/>
      </w:r>
      <w:r w:rsidRPr="00872318">
        <w:rPr>
          <w:rFonts w:ascii="Times New Roman" w:hAnsi="Times New Roman" w:cs="Times New Roman"/>
          <w:sz w:val="24"/>
          <w:szCs w:val="24"/>
        </w:rPr>
        <w:t xml:space="preserve"> In her essay ‘‘The Medium is the Message’: Cronenberg ‘Outkafkas’ Kafka’, Iris Bruce suggests that the 1986 film </w:t>
      </w:r>
      <w:r w:rsidRPr="00872318">
        <w:rPr>
          <w:rFonts w:ascii="Times New Roman" w:hAnsi="Times New Roman" w:cs="Times New Roman"/>
          <w:i/>
          <w:iCs/>
          <w:sz w:val="24"/>
          <w:szCs w:val="24"/>
        </w:rPr>
        <w:t>The Fly</w:t>
      </w:r>
      <w:r w:rsidRPr="00872318">
        <w:rPr>
          <w:rFonts w:ascii="Times New Roman" w:hAnsi="Times New Roman" w:cs="Times New Roman"/>
          <w:sz w:val="24"/>
          <w:szCs w:val="24"/>
        </w:rPr>
        <w:t xml:space="preserve"> can almost be interpreted as David Cronenberg’s iteration of Kafka’s ‘The Metamorphosis’. It is important to emphasise here that David Cronenberg does not identify with his Judaism, and </w:t>
      </w:r>
      <w:r w:rsidRPr="00872318">
        <w:rPr>
          <w:rFonts w:ascii="Times New Roman" w:hAnsi="Times New Roman" w:cs="Times New Roman"/>
          <w:i/>
          <w:iCs/>
          <w:sz w:val="24"/>
          <w:szCs w:val="24"/>
        </w:rPr>
        <w:t>The Fly</w:t>
      </w:r>
      <w:r w:rsidRPr="00872318">
        <w:rPr>
          <w:rFonts w:ascii="Times New Roman" w:hAnsi="Times New Roman" w:cs="Times New Roman"/>
          <w:sz w:val="24"/>
          <w:szCs w:val="24"/>
        </w:rPr>
        <w:t xml:space="preserve"> is a film that does not engage with the idea of the Jew as Other:</w:t>
      </w:r>
    </w:p>
    <w:p w14:paraId="3EBD0F44" w14:textId="77777777" w:rsidR="0009680C" w:rsidRPr="00872318" w:rsidRDefault="0009680C" w:rsidP="0009680C">
      <w:pPr>
        <w:spacing w:line="480" w:lineRule="auto"/>
        <w:ind w:left="720"/>
        <w:rPr>
          <w:rFonts w:ascii="Times New Roman" w:hAnsi="Times New Roman" w:cs="Times New Roman"/>
          <w:i/>
          <w:iCs/>
          <w:sz w:val="24"/>
          <w:szCs w:val="24"/>
          <w:lang w:val="en-US"/>
        </w:rPr>
      </w:pPr>
      <w:r w:rsidRPr="00872318">
        <w:rPr>
          <w:rFonts w:ascii="Times New Roman" w:hAnsi="Times New Roman" w:cs="Times New Roman"/>
          <w:i/>
          <w:iCs/>
          <w:sz w:val="24"/>
          <w:szCs w:val="24"/>
          <w:lang w:val="en-US"/>
        </w:rPr>
        <w:lastRenderedPageBreak/>
        <w:t>‘You talk about Kafka. You say of course he was the other because he was German-speaking. He was Czechoslovakian and he was a Jew, so he was the other twice removed. So on and so on. I don’t feel that about myself per se. I don’t think that’s what I’m expressing, at least not on a level I feel very strongly. Consciously anyway. I think the other is a seductive possibility. A dangerous one perhaps and a scary one, but something you could become. You’ve seen the example of someone else being that. That means it’s a possibility for you’</w:t>
      </w:r>
      <w:r w:rsidRPr="00872318">
        <w:rPr>
          <w:rStyle w:val="FootnoteReference"/>
          <w:rFonts w:cs="Times New Roman"/>
          <w:i/>
          <w:iCs/>
          <w:sz w:val="24"/>
          <w:szCs w:val="24"/>
          <w:lang w:val="en-US"/>
        </w:rPr>
        <w:footnoteReference w:id="27"/>
      </w:r>
    </w:p>
    <w:p w14:paraId="75FF6736" w14:textId="77777777" w:rsidR="0009680C" w:rsidRPr="00872318" w:rsidRDefault="0009680C" w:rsidP="0009680C">
      <w:pPr>
        <w:spacing w:line="480" w:lineRule="auto"/>
        <w:rPr>
          <w:rFonts w:ascii="Times New Roman" w:hAnsi="Times New Roman" w:cs="Times New Roman"/>
          <w:sz w:val="24"/>
          <w:szCs w:val="24"/>
          <w:lang w:val="en-US"/>
        </w:rPr>
      </w:pPr>
      <w:r w:rsidRPr="00872318">
        <w:rPr>
          <w:rFonts w:ascii="Times New Roman" w:hAnsi="Times New Roman" w:cs="Times New Roman"/>
          <w:sz w:val="24"/>
          <w:szCs w:val="24"/>
          <w:lang w:val="en-US"/>
        </w:rPr>
        <w:t>Cronenberg has openly strived towards ignorance of the deeper nuances in Kafka’s work and is cognizant of the vast differences between his and Kafka’s interaction with themes of otherness. These differences in theme enable Kafka and Cronenberg to craft two wholly different versions of the narrative, with the author and director’s choices in form and narrative voice dictating the overall tone and sensibility of the work.</w:t>
      </w:r>
    </w:p>
    <w:p w14:paraId="622775B5"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lang w:val="en-US"/>
        </w:rPr>
        <w:tab/>
      </w:r>
      <w:r w:rsidRPr="00872318">
        <w:rPr>
          <w:rFonts w:ascii="Times New Roman" w:hAnsi="Times New Roman" w:cs="Times New Roman"/>
          <w:sz w:val="24"/>
          <w:szCs w:val="24"/>
        </w:rPr>
        <w:t>The crux of Bruce’s argument is contained within her title: ‘The Medium is the Message’. She argues that the key to simultaneously analysing these two texts is in their differing mediums (Kafka’s prose versus Cronenberg’s film), and that the mediums dictate their message, and I would largely agree. Kafka’s prosaic medium is a large factor in determining the specifically Jewish element of horror in The Metamorphosis. In the text, Kafka details at length Gregor’s specific bodily experience of metamorphosis. Gregor’s perspective is limited almost entirely to his body, his immediate surroundings, and what little he can overhear of his family, with Kafka emphasising this in two ways.</w:t>
      </w:r>
      <w:r w:rsidRPr="00872318">
        <w:rPr>
          <w:rFonts w:ascii="Times New Roman" w:hAnsi="Times New Roman" w:cs="Times New Roman"/>
          <w:sz w:val="24"/>
          <w:szCs w:val="24"/>
          <w:lang w:val="en-US"/>
        </w:rPr>
        <w:t xml:space="preserve"> </w:t>
      </w:r>
      <w:r w:rsidRPr="00872318">
        <w:rPr>
          <w:rFonts w:ascii="Times New Roman" w:hAnsi="Times New Roman" w:cs="Times New Roman"/>
          <w:sz w:val="24"/>
          <w:szCs w:val="24"/>
        </w:rPr>
        <w:t xml:space="preserve">The first, as previously mentioned, is in the frequent descriptions of Gregor’s physicality. While the subject is at first treated with dark humour, this quickly gives way to body horror, with Kafka’s descriptions of abuse (‘Pitilessly Gregor’s father drove him back, hissing and crying </w:t>
      </w:r>
      <w:r w:rsidRPr="00872318">
        <w:rPr>
          <w:rFonts w:ascii="Times New Roman" w:hAnsi="Times New Roman" w:cs="Times New Roman"/>
          <w:sz w:val="24"/>
          <w:szCs w:val="24"/>
        </w:rPr>
        <w:lastRenderedPageBreak/>
        <w:t>‘Shoo!’ like a savage’) and physical pain (‘His left side felt like one single long, unpleasantly tense scar’) evoking a personal, visceral experience of horror and suffering.</w:t>
      </w:r>
      <w:r w:rsidRPr="00872318">
        <w:rPr>
          <w:rStyle w:val="FootnoteReference"/>
          <w:rFonts w:cs="Times New Roman"/>
          <w:sz w:val="24"/>
          <w:szCs w:val="24"/>
        </w:rPr>
        <w:footnoteReference w:id="28"/>
      </w:r>
      <w:r w:rsidRPr="00872318">
        <w:rPr>
          <w:rFonts w:ascii="Times New Roman" w:hAnsi="Times New Roman" w:cs="Times New Roman"/>
          <w:sz w:val="24"/>
          <w:szCs w:val="24"/>
        </w:rPr>
        <w:t xml:space="preserve"> The second method is in Kafka’s descriptions of Gregor’s personal space, particularly his room and the window through which he gets his few glimpses of the outside world. We are forced into Gregor’s perspective of the world via the window, forced to experience his isolation and alienation from society as though it were our own. If we contrast this with the ways in which Cronenberg uses perspective in his narrative, as well as my earlier assertion that certain narratives about Jewishness are preoccupied with a voyeuristic depiction of Jewish suffering, we can see my first tenet of defining a Jewish sensibility in horror: </w:t>
      </w:r>
      <w:r w:rsidRPr="00872318">
        <w:rPr>
          <w:rFonts w:ascii="Times New Roman" w:hAnsi="Times New Roman" w:cs="Times New Roman"/>
          <w:b/>
          <w:bCs/>
          <w:sz w:val="24"/>
          <w:szCs w:val="24"/>
        </w:rPr>
        <w:t>in Jewish horror, the source of horror is in suffering itself, rather than in the observation and spectacle of suffering</w:t>
      </w:r>
      <w:r w:rsidRPr="00872318">
        <w:rPr>
          <w:rFonts w:ascii="Times New Roman" w:hAnsi="Times New Roman" w:cs="Times New Roman"/>
          <w:sz w:val="24"/>
          <w:szCs w:val="24"/>
        </w:rPr>
        <w:t xml:space="preserve">. In The Fly, we observe the horror of Seth Brundle’s transformation through the eyes of the protagonist, his helpless girlfriend. The only instances in which we see Brundle’s suffering through his own perspective is when he documents it in a video diary, establishing yet another barrier between the audience and the body horror elements of the narrative. While it could be argued that this is a function of the form, as film is more suited to communicating the external, bodily elements of the transformation, while prose accesses a degree of interiority that film cannot achieve, I would argue that Kafka’s prose solidifies his more Jewish narrative, rather than determining it. The Metamorphosis being a prose narrative is not the sole determining factor in its unique take on the narrative’s themes. The use of the video-diary exposition in The Fly shows us this: Brundle’s discussion of his own experience is not intimate and personal, but instead clinical. Cronenberg sacrifices the intimacy, alienation, and sheer terror that Gregor Samsa experiences in favour of exploring Seth’s hubris and dehumanisation at his own hands. It is crucial to acknowledge that Cronenberg could have approached the interiority and first-hand experience of his character, but instead chooses to </w:t>
      </w:r>
      <w:r w:rsidRPr="00872318">
        <w:rPr>
          <w:rFonts w:ascii="Times New Roman" w:hAnsi="Times New Roman" w:cs="Times New Roman"/>
          <w:sz w:val="24"/>
          <w:szCs w:val="24"/>
        </w:rPr>
        <w:lastRenderedPageBreak/>
        <w:t>focalise his narrative through the perspective of a bystander. It is not the cinematic form, but Cronenberg’s own narrative choices that push this film in a more Gentile direction, closer to Christian martyr narratives than narratives of suffering. While Brundle suffers (somewhat voluntarily) for his vocation and is ultimately not the protagonist of the narrative, Gregor is entirely the victim of his circumstances. His suffering is seemingly random, and it is not framed through the perspective of anybody but himself.</w:t>
      </w:r>
    </w:p>
    <w:p w14:paraId="1EDB7A98"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tab/>
      </w:r>
      <w:r w:rsidRPr="00872318">
        <w:rPr>
          <w:rFonts w:ascii="Times New Roman" w:hAnsi="Times New Roman" w:cs="Times New Roman"/>
          <w:i/>
          <w:iCs/>
          <w:sz w:val="24"/>
          <w:szCs w:val="24"/>
        </w:rPr>
        <w:t>The Fly</w:t>
      </w:r>
      <w:r w:rsidRPr="00872318">
        <w:rPr>
          <w:rFonts w:ascii="Times New Roman" w:hAnsi="Times New Roman" w:cs="Times New Roman"/>
          <w:sz w:val="24"/>
          <w:szCs w:val="24"/>
        </w:rPr>
        <w:t xml:space="preserve"> and ‘The Metamorphosis’ can largely be compared in how they depict not only their protagonists, but also how they interact with the very idea of horror. For Cronenberg, horror is a spectacle, the unfortunate result of grand ideas gone wrong, while Kafka’s horror is random, a stroke of bad luck that transforms the lives of all those who come too close. Brundle is punished for his hubris; Gregor isn’t punished for anything more than having poor luck. As a result, the monsters of each narrative, Seth Brundle and Gregor Samsa, and the normality Robin Wood might describe them as attacking are fundamentally reconfigured in each version of the story. While Brundle’s normality is forever changed by his transformation (with Veronica still carrying his unborn child and Stathis horrifically maimed by their encounter), Gregor’s status quo is somewhat regained after his disappearance. Jewish horror allows no larger significance to Gregor’s suffering, which is treated as merely a drop in the ocean. While he is sympathetic as a monstrous figure, Kafka emphasises his lack of agency; Gregor is not even afforded the hostility that Brundle eventually acts out, and as one of a small number of Jewish monsters, Gregor is defined not by hostility but by his passive refusal to be engaged with as a monster.  Jewish horror does not just reconfigure audience’s ideas of normality and the monster, but also forces them to confront which one is actually attacking the other.</w:t>
      </w:r>
    </w:p>
    <w:p w14:paraId="64FAEAE3" w14:textId="77777777" w:rsidR="0009680C" w:rsidRPr="00872318" w:rsidRDefault="0009680C" w:rsidP="0009680C">
      <w:pPr>
        <w:pStyle w:val="Heading1"/>
        <w:spacing w:line="480" w:lineRule="auto"/>
        <w:rPr>
          <w:rFonts w:ascii="Times New Roman" w:hAnsi="Times New Roman" w:cs="Times New Roman"/>
          <w:sz w:val="24"/>
          <w:szCs w:val="24"/>
          <w:lang w:val="en-US"/>
        </w:rPr>
      </w:pPr>
      <w:bookmarkStart w:id="7" w:name="_Toc51249396"/>
      <w:r w:rsidRPr="00872318">
        <w:rPr>
          <w:rFonts w:ascii="Times New Roman" w:hAnsi="Times New Roman" w:cs="Times New Roman"/>
          <w:sz w:val="24"/>
          <w:szCs w:val="24"/>
          <w:lang w:val="en-US"/>
        </w:rPr>
        <w:lastRenderedPageBreak/>
        <w:t>Chapter Two: Demon (2015)</w:t>
      </w:r>
      <w:bookmarkEnd w:id="7"/>
    </w:p>
    <w:p w14:paraId="09120639" w14:textId="77777777" w:rsidR="0009680C" w:rsidRPr="00872318" w:rsidRDefault="0009680C" w:rsidP="0009680C">
      <w:pPr>
        <w:pStyle w:val="Heading2"/>
        <w:spacing w:line="480" w:lineRule="auto"/>
        <w:rPr>
          <w:rFonts w:ascii="Times New Roman" w:hAnsi="Times New Roman" w:cs="Times New Roman"/>
          <w:sz w:val="24"/>
          <w:szCs w:val="24"/>
          <w:lang w:val="en-US"/>
        </w:rPr>
      </w:pPr>
      <w:bookmarkStart w:id="8" w:name="_Toc51249397"/>
      <w:r w:rsidRPr="00872318">
        <w:rPr>
          <w:rFonts w:ascii="Times New Roman" w:hAnsi="Times New Roman" w:cs="Times New Roman"/>
          <w:sz w:val="24"/>
          <w:szCs w:val="24"/>
          <w:lang w:val="en-US"/>
        </w:rPr>
        <w:t>Jewish Monsters</w:t>
      </w:r>
      <w:bookmarkEnd w:id="8"/>
    </w:p>
    <w:p w14:paraId="13856092"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lang w:val="en-US"/>
        </w:rPr>
        <w:tab/>
        <w:t>On what might seem as the opposite end of the spectrum from Kafka’s unwilling, passive monster are the monsters of Jewish theology, which fit perhaps more obviously into conventional ideas of horror. Within the narrow bounds of Jewish horror concerned with Jewish theology, stories are largely limited to two ‘monsters’: the golem and the dybbuk. The golem, a giant man made of clay and animated by Kabbalah magic (a Jewish form of mysticism), exists to protect Jews in danger of anti-Semitic violence.</w:t>
      </w:r>
      <w:r w:rsidRPr="00872318">
        <w:rPr>
          <w:rFonts w:ascii="Times New Roman" w:hAnsi="Times New Roman" w:cs="Times New Roman"/>
          <w:sz w:val="24"/>
          <w:szCs w:val="24"/>
        </w:rPr>
        <w:t xml:space="preserve"> The tale initially centred around Rabbi Loew and the Jews of Prague, but in the years since, the tale has been reconfigured and re-appropriated, particularly in the post-Holocaust period in which it grew closer to a conventional ‘movie monster’. While golem tales are still few and far between, Maya Barzilai suggests that in recent decades, the golem has transitioned from being a figure of protection to a figure of revenge, and raises questions for post-Holocaust readers including ‘How does one reconcile, both aesthetically and ethically, Jewish violence and even cruelty?’.</w:t>
      </w:r>
      <w:r w:rsidRPr="00872318">
        <w:rPr>
          <w:rStyle w:val="FootnoteReference"/>
          <w:rFonts w:cs="Times New Roman"/>
          <w:sz w:val="24"/>
          <w:szCs w:val="24"/>
        </w:rPr>
        <w:footnoteReference w:id="29"/>
      </w:r>
      <w:r w:rsidRPr="00872318">
        <w:rPr>
          <w:rFonts w:ascii="Times New Roman" w:hAnsi="Times New Roman" w:cs="Times New Roman"/>
          <w:sz w:val="24"/>
          <w:szCs w:val="24"/>
        </w:rPr>
        <w:t xml:space="preserve"> Similarly, the figure of the dybbuk has adapted over time. The dybbuk, a ghostly entity that attaches to living souls/bodies was initially a symbol to discuss issues of the soul, morality, and to provide resolution to lives ended prematurely. For example, one of the earliest Jewish horror films, Michał Waszyński’s </w:t>
      </w:r>
      <w:r w:rsidRPr="00872318">
        <w:rPr>
          <w:rFonts w:ascii="Times New Roman" w:hAnsi="Times New Roman" w:cs="Times New Roman"/>
          <w:i/>
          <w:iCs/>
          <w:sz w:val="24"/>
          <w:szCs w:val="24"/>
        </w:rPr>
        <w:t xml:space="preserve">The Dybbuk </w:t>
      </w:r>
      <w:r w:rsidRPr="00872318">
        <w:rPr>
          <w:rFonts w:ascii="Times New Roman" w:hAnsi="Times New Roman" w:cs="Times New Roman"/>
          <w:sz w:val="24"/>
          <w:szCs w:val="24"/>
        </w:rPr>
        <w:t xml:space="preserve">(adapted from S. Ansky’s iconic Yiddish-language play </w:t>
      </w:r>
      <w:r w:rsidRPr="00872318">
        <w:rPr>
          <w:rFonts w:ascii="Times New Roman" w:hAnsi="Times New Roman" w:cs="Times New Roman"/>
          <w:i/>
          <w:iCs/>
          <w:sz w:val="24"/>
          <w:szCs w:val="24"/>
        </w:rPr>
        <w:t>The Dybbuk: Between Two Worlds</w:t>
      </w:r>
      <w:r w:rsidRPr="00872318">
        <w:rPr>
          <w:rFonts w:ascii="Times New Roman" w:hAnsi="Times New Roman" w:cs="Times New Roman"/>
          <w:sz w:val="24"/>
          <w:szCs w:val="24"/>
        </w:rPr>
        <w:t>) explores these ideas to great effect in what is perhaps the pinnacle of dybbuk stories in film. But again, like the golem, after the Holocaust, a Jewish representation of the afterlife and of lives ended prematurely inevitably gained new subtext.</w:t>
      </w:r>
    </w:p>
    <w:p w14:paraId="7ED68CCA"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lastRenderedPageBreak/>
        <w:tab/>
        <w:t>In both film and print, there are large swathes of horror focusing on the Holocaust: to quote horror author Grady Hendrix, ‘If you’ve read five horror novels from the ’80s, you’ve read four prologues set in WWII’.</w:t>
      </w:r>
      <w:r w:rsidRPr="00872318">
        <w:rPr>
          <w:rStyle w:val="FootnoteReference"/>
          <w:rFonts w:cs="Times New Roman"/>
          <w:sz w:val="24"/>
          <w:szCs w:val="24"/>
        </w:rPr>
        <w:footnoteReference w:id="30"/>
      </w:r>
      <w:r w:rsidRPr="00872318">
        <w:rPr>
          <w:rFonts w:ascii="Times New Roman" w:hAnsi="Times New Roman" w:cs="Times New Roman"/>
          <w:sz w:val="24"/>
          <w:szCs w:val="24"/>
        </w:rPr>
        <w:t xml:space="preserve"> A focus on the war and its aftermath within the genre is perhaps inevitable, given the significant emotional and psychic turmoil, displacement of peoples, and general terror felt across the world. However, in an overview of the Holocaust in experimental film, Aaron Kerner notes that mainstream horror was more likely to focus on the perpetrators and imagery of the Holocaust than its victims and survivors.</w:t>
      </w:r>
      <w:r w:rsidRPr="00872318">
        <w:rPr>
          <w:rStyle w:val="FootnoteReference"/>
          <w:rFonts w:cs="Times New Roman"/>
          <w:sz w:val="24"/>
          <w:szCs w:val="24"/>
        </w:rPr>
        <w:footnoteReference w:id="31"/>
      </w:r>
      <w:r w:rsidRPr="00872318">
        <w:rPr>
          <w:rFonts w:ascii="Times New Roman" w:hAnsi="Times New Roman" w:cs="Times New Roman"/>
          <w:sz w:val="24"/>
          <w:szCs w:val="24"/>
        </w:rPr>
        <w:t xml:space="preserve"> A small sub-genre which I will refer to as ‘Nazi horror’ emerged, with Nazis being depicted as the ultimate villain, often as occultists (</w:t>
      </w:r>
      <w:r w:rsidRPr="00872318">
        <w:rPr>
          <w:rFonts w:ascii="Times New Roman" w:hAnsi="Times New Roman" w:cs="Times New Roman"/>
          <w:i/>
          <w:iCs/>
          <w:sz w:val="24"/>
          <w:szCs w:val="24"/>
        </w:rPr>
        <w:t>The Keep</w:t>
      </w:r>
      <w:r w:rsidRPr="00872318">
        <w:rPr>
          <w:rFonts w:ascii="Times New Roman" w:hAnsi="Times New Roman" w:cs="Times New Roman"/>
          <w:sz w:val="24"/>
          <w:szCs w:val="24"/>
        </w:rPr>
        <w:t>, 1983) or torturers (</w:t>
      </w:r>
      <w:r w:rsidRPr="00872318">
        <w:rPr>
          <w:rFonts w:ascii="Times New Roman" w:hAnsi="Times New Roman" w:cs="Times New Roman"/>
          <w:i/>
          <w:iCs/>
          <w:sz w:val="24"/>
          <w:szCs w:val="24"/>
        </w:rPr>
        <w:t>Marathon Man</w:t>
      </w:r>
      <w:r w:rsidRPr="00872318">
        <w:rPr>
          <w:rFonts w:ascii="Times New Roman" w:hAnsi="Times New Roman" w:cs="Times New Roman"/>
          <w:sz w:val="24"/>
          <w:szCs w:val="24"/>
        </w:rPr>
        <w:t xml:space="preserve">, 1976). Imagery of death camps abounded, with horror filmmakers finding particular inspiration in the medical torture of notorious figures such as Dr Josef Mengele (e.g. </w:t>
      </w:r>
      <w:r w:rsidRPr="00872318">
        <w:rPr>
          <w:rFonts w:ascii="Times New Roman" w:hAnsi="Times New Roman" w:cs="Times New Roman"/>
          <w:i/>
          <w:iCs/>
          <w:sz w:val="24"/>
          <w:szCs w:val="24"/>
        </w:rPr>
        <w:t>Marathon Man</w:t>
      </w:r>
      <w:r w:rsidRPr="00872318">
        <w:rPr>
          <w:rFonts w:ascii="Times New Roman" w:hAnsi="Times New Roman" w:cs="Times New Roman"/>
          <w:sz w:val="24"/>
          <w:szCs w:val="24"/>
        </w:rPr>
        <w:t xml:space="preserve">, </w:t>
      </w:r>
      <w:r w:rsidRPr="00872318">
        <w:rPr>
          <w:rFonts w:ascii="Times New Roman" w:hAnsi="Times New Roman" w:cs="Times New Roman"/>
          <w:i/>
          <w:iCs/>
          <w:sz w:val="24"/>
          <w:szCs w:val="24"/>
        </w:rPr>
        <w:t>The Boys from Brazil</w:t>
      </w:r>
      <w:r w:rsidRPr="00872318">
        <w:rPr>
          <w:rFonts w:ascii="Times New Roman" w:hAnsi="Times New Roman" w:cs="Times New Roman"/>
          <w:sz w:val="24"/>
          <w:szCs w:val="24"/>
        </w:rPr>
        <w:t xml:space="preserve"> (1978)). In later years, Kerner suggests that this fascination with Holocaust imagery would manifest in the ‘torture-porn’ of the early 2000s, with films such as Eli Roth’s </w:t>
      </w:r>
      <w:r w:rsidRPr="00872318">
        <w:rPr>
          <w:rFonts w:ascii="Times New Roman" w:hAnsi="Times New Roman" w:cs="Times New Roman"/>
          <w:i/>
          <w:iCs/>
          <w:sz w:val="24"/>
          <w:szCs w:val="24"/>
        </w:rPr>
        <w:t>Hostel</w:t>
      </w:r>
      <w:r w:rsidRPr="00872318">
        <w:rPr>
          <w:rFonts w:ascii="Times New Roman" w:hAnsi="Times New Roman" w:cs="Times New Roman"/>
          <w:sz w:val="24"/>
          <w:szCs w:val="24"/>
        </w:rPr>
        <w:t xml:space="preserve"> (2005) bleakly depicting the looting of victims’ belongings, crematoriums/gas chamber imagery, and a well-oiled machinery of death.</w:t>
      </w:r>
      <w:r w:rsidRPr="00872318">
        <w:rPr>
          <w:rStyle w:val="FootnoteReference"/>
          <w:rFonts w:cs="Times New Roman"/>
          <w:sz w:val="24"/>
          <w:szCs w:val="24"/>
        </w:rPr>
        <w:footnoteReference w:id="32"/>
      </w:r>
      <w:r w:rsidRPr="00872318">
        <w:rPr>
          <w:rFonts w:ascii="Times New Roman" w:hAnsi="Times New Roman" w:cs="Times New Roman"/>
          <w:sz w:val="24"/>
          <w:szCs w:val="24"/>
        </w:rPr>
        <w:t xml:space="preserve"> Such films thrive off fear and hopelessness in a way that can be considered pessimistic even in a genre focused on the horrifying. While genre cinema is often utilised as a means of exploring thornier topics, films such as Roth’s, or the numerous films which pitted young, all-American men against Nazis, refuse to engage with the impact of these atrocities on their actual victims, substituting empathy for spectacle. Although there is room to interpret films such as </w:t>
      </w:r>
      <w:r w:rsidRPr="00872318">
        <w:rPr>
          <w:rFonts w:ascii="Times New Roman" w:hAnsi="Times New Roman" w:cs="Times New Roman"/>
          <w:i/>
          <w:iCs/>
          <w:sz w:val="24"/>
          <w:szCs w:val="24"/>
        </w:rPr>
        <w:t>Hostel</w:t>
      </w:r>
      <w:r w:rsidRPr="00872318">
        <w:rPr>
          <w:rFonts w:ascii="Times New Roman" w:hAnsi="Times New Roman" w:cs="Times New Roman"/>
          <w:sz w:val="24"/>
          <w:szCs w:val="24"/>
        </w:rPr>
        <w:t xml:space="preserve"> as an attempt to force American viewers to confront the realities of such an efficient and ruthless means of murder, even from a Jewish writer- director such as Roth, Jewishness is side-lined in favour </w:t>
      </w:r>
      <w:r w:rsidRPr="00872318">
        <w:rPr>
          <w:rFonts w:ascii="Times New Roman" w:hAnsi="Times New Roman" w:cs="Times New Roman"/>
          <w:sz w:val="24"/>
          <w:szCs w:val="24"/>
        </w:rPr>
        <w:lastRenderedPageBreak/>
        <w:t>of focusing on the perpetrators. Such narratives focus entirely on gruesome depictions of suffering while apparently refusing to acknowledge who these acts were committed against, which leaves much to be desired.</w:t>
      </w:r>
    </w:p>
    <w:p w14:paraId="07E413BA"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tab/>
        <w:t xml:space="preserve">However, as previously mentioned, there are (ever-growing) spaces within the genre that allow for more nuanced interpretations of Jewish horror. While Jewish folklore had an aesthetic associated less with the staples of the horror genre, in both the aftermath of the Holocaust and during the birth of the modern horror movie, Jewish folklore and theology transformed into something altogether more violent and vengeful. While the folkloric figures were widely re-interpreted after the war, this allowed for complex explorations of the post-war Jewish psyche. By re-appropriating Jewish monsters, horror begins to explore the controversial post-war question of what it meant for Jews to </w:t>
      </w:r>
      <w:r w:rsidRPr="00872318">
        <w:rPr>
          <w:rFonts w:ascii="Times New Roman" w:hAnsi="Times New Roman" w:cs="Times New Roman"/>
          <w:i/>
          <w:iCs/>
          <w:sz w:val="24"/>
          <w:szCs w:val="24"/>
        </w:rPr>
        <w:t>become</w:t>
      </w:r>
      <w:r w:rsidRPr="00872318">
        <w:rPr>
          <w:rFonts w:ascii="Times New Roman" w:hAnsi="Times New Roman" w:cs="Times New Roman"/>
          <w:sz w:val="24"/>
          <w:szCs w:val="24"/>
        </w:rPr>
        <w:t xml:space="preserve"> the monster. After 1945 and the public discovery of the true horrors of the Holocaust, questions of retribution and restorative justice were prominent in the public mind, and the possibility of monstrous revenge was perhaps not an unreasonable fear. In utilising specifically Jewish monsters and theology, horror allows Jews to move past the idea of Jewishness as synonymous with victimhood and to no longer be reliant on depictions of Nazis. In short, this allows Jewish horror to become uniquely Jewish.</w:t>
      </w:r>
    </w:p>
    <w:p w14:paraId="53D5813D" w14:textId="77777777" w:rsidR="0009680C" w:rsidRPr="00872318" w:rsidRDefault="0009680C" w:rsidP="0009680C">
      <w:pPr>
        <w:pStyle w:val="Heading2"/>
        <w:spacing w:line="480" w:lineRule="auto"/>
        <w:rPr>
          <w:rFonts w:ascii="Times New Roman" w:hAnsi="Times New Roman" w:cs="Times New Roman"/>
          <w:sz w:val="24"/>
          <w:szCs w:val="24"/>
          <w:lang w:val="en-US"/>
        </w:rPr>
      </w:pPr>
      <w:bookmarkStart w:id="9" w:name="_Toc51249398"/>
      <w:r w:rsidRPr="00872318">
        <w:rPr>
          <w:rFonts w:ascii="Times New Roman" w:hAnsi="Times New Roman" w:cs="Times New Roman"/>
          <w:sz w:val="24"/>
          <w:szCs w:val="24"/>
          <w:lang w:val="en-US"/>
        </w:rPr>
        <w:t>Haunting</w:t>
      </w:r>
      <w:bookmarkEnd w:id="9"/>
    </w:p>
    <w:p w14:paraId="40CBE39E"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In his essay ‘The Spirit of Judaism’ (found in </w:t>
      </w:r>
      <w:r w:rsidRPr="00872318">
        <w:rPr>
          <w:rFonts w:ascii="Times New Roman" w:hAnsi="Times New Roman" w:cs="Times New Roman"/>
          <w:i/>
          <w:iCs/>
          <w:sz w:val="24"/>
          <w:szCs w:val="24"/>
        </w:rPr>
        <w:t>Early Theological Writings</w:t>
      </w:r>
      <w:r w:rsidRPr="00872318">
        <w:rPr>
          <w:rFonts w:ascii="Times New Roman" w:hAnsi="Times New Roman" w:cs="Times New Roman"/>
          <w:sz w:val="24"/>
          <w:szCs w:val="24"/>
        </w:rPr>
        <w:t xml:space="preserve">), Hegel attempts the impossible, in defining the essence of the era of Judaism. Hegel’s conclusions are without a doubt problematic in their anti-Semitic overtones, but where there is some value is in his depictions of the relations between Judaism and Christianity. Firstly, Hegel notes the rejection of icons and objects of religious feeling, stating that ‘An image of God was just stone or wood to them’, as opposed to Christianity which prizes religious objects, including artistic objects such as sculptures and paintings, as well as holy relics, and objects of ritual </w:t>
      </w:r>
      <w:r w:rsidRPr="00872318">
        <w:rPr>
          <w:rFonts w:ascii="Times New Roman" w:hAnsi="Times New Roman" w:cs="Times New Roman"/>
          <w:sz w:val="24"/>
          <w:szCs w:val="24"/>
        </w:rPr>
        <w:lastRenderedPageBreak/>
        <w:t>(the tabernacle, etc.).</w:t>
      </w:r>
      <w:r w:rsidRPr="00872318">
        <w:rPr>
          <w:rStyle w:val="FootnoteReference"/>
          <w:rFonts w:cs="Times New Roman"/>
          <w:sz w:val="24"/>
          <w:szCs w:val="24"/>
        </w:rPr>
        <w:footnoteReference w:id="33"/>
      </w:r>
      <w:r w:rsidRPr="00872318">
        <w:rPr>
          <w:rFonts w:ascii="Times New Roman" w:hAnsi="Times New Roman" w:cs="Times New Roman"/>
          <w:sz w:val="24"/>
          <w:szCs w:val="24"/>
        </w:rPr>
        <w:t xml:space="preserve"> Secondly, Hegel asserts that the Jews are an incomplete, immature embodiment of God’s children:</w:t>
      </w:r>
    </w:p>
    <w:p w14:paraId="68E7F1CC" w14:textId="77777777" w:rsidR="0009680C" w:rsidRPr="00872318" w:rsidRDefault="0009680C" w:rsidP="0009680C">
      <w:pPr>
        <w:spacing w:line="480" w:lineRule="auto"/>
        <w:ind w:left="720"/>
        <w:rPr>
          <w:rFonts w:ascii="Times New Roman" w:eastAsia="Times New Roman" w:hAnsi="Times New Roman" w:cs="Times New Roman"/>
          <w:i/>
          <w:iCs/>
          <w:color w:val="000000"/>
          <w:sz w:val="24"/>
          <w:szCs w:val="24"/>
          <w:shd w:val="clear" w:color="auto" w:fill="FFFFFF"/>
          <w:lang w:eastAsia="en-GB"/>
        </w:rPr>
      </w:pPr>
      <w:r w:rsidRPr="00872318">
        <w:rPr>
          <w:rFonts w:ascii="Times New Roman" w:hAnsi="Times New Roman" w:cs="Times New Roman"/>
          <w:i/>
          <w:iCs/>
          <w:sz w:val="24"/>
          <w:szCs w:val="24"/>
        </w:rPr>
        <w:t>‘</w:t>
      </w:r>
      <w:r w:rsidRPr="00872318">
        <w:rPr>
          <w:rFonts w:ascii="Times New Roman" w:eastAsia="Times New Roman" w:hAnsi="Times New Roman" w:cs="Times New Roman"/>
          <w:i/>
          <w:iCs/>
          <w:color w:val="000000"/>
          <w:sz w:val="24"/>
          <w:szCs w:val="24"/>
          <w:shd w:val="clear" w:color="auto" w:fill="FFFFFF"/>
          <w:lang w:eastAsia="en-GB"/>
        </w:rPr>
        <w:t>God had led the Jews, through his instrumentality, with the behavior of the eagle which wishes to train its young to fly… Only the Israelites did not complete this fine image; these young never became eagles’</w:t>
      </w:r>
      <w:r w:rsidRPr="00872318">
        <w:rPr>
          <w:rStyle w:val="FootnoteReference"/>
          <w:rFonts w:eastAsia="Times New Roman" w:cs="Times New Roman"/>
          <w:i/>
          <w:iCs/>
          <w:color w:val="000000"/>
          <w:sz w:val="24"/>
          <w:szCs w:val="24"/>
          <w:shd w:val="clear" w:color="auto" w:fill="FFFFFF"/>
          <w:lang w:eastAsia="en-GB"/>
        </w:rPr>
        <w:footnoteReference w:id="34"/>
      </w:r>
    </w:p>
    <w:p w14:paraId="2534114D"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t xml:space="preserve">The theological accuracy of this statement is immaterial – what is crucial is that it accurately conveys the gentile/Christian perception of Judaism, as a failed first attempt, as Lilith was to Eve. This attitude obviously leads to anti-Semitic conclusions, but to reduce it only to this undermines the complexity and interdependence of Judaism and Christianity. Implicit in Hegel’s statement is the idea of Judaism as a predecessor of Christianity, but I would argue that this connection actually goes deeper than a fraternal relationship between the two. Instead of being a replacement for Judaism, Christianity was borne </w:t>
      </w:r>
      <w:r w:rsidRPr="00872318">
        <w:rPr>
          <w:rFonts w:ascii="Times New Roman" w:hAnsi="Times New Roman" w:cs="Times New Roman"/>
          <w:i/>
          <w:iCs/>
          <w:sz w:val="24"/>
          <w:szCs w:val="24"/>
        </w:rPr>
        <w:t xml:space="preserve">from </w:t>
      </w:r>
      <w:r w:rsidRPr="00872318">
        <w:rPr>
          <w:rFonts w:ascii="Times New Roman" w:hAnsi="Times New Roman" w:cs="Times New Roman"/>
          <w:sz w:val="24"/>
          <w:szCs w:val="24"/>
        </w:rPr>
        <w:t>Judaism. Judaism is not a sibling of Christianity, but a parent, arguably (and perhaps controversially) embodying an additional level of detachment between Christianity and God. After all, Christ himself was a Jew, the original Christians were Jews, and the fundamental moment of Christianity is in the death and resurrection of Christ, just as Judaism is, in a sense, resurrected in Christianity.</w:t>
      </w:r>
    </w:p>
    <w:p w14:paraId="598889EB" w14:textId="77777777" w:rsidR="0009680C" w:rsidRPr="00872318" w:rsidRDefault="0009680C" w:rsidP="0009680C">
      <w:pPr>
        <w:spacing w:line="480" w:lineRule="auto"/>
        <w:ind w:firstLine="720"/>
        <w:rPr>
          <w:rFonts w:ascii="Times New Roman" w:hAnsi="Times New Roman" w:cs="Times New Roman"/>
          <w:sz w:val="24"/>
          <w:szCs w:val="24"/>
          <w:lang w:val="en-US"/>
        </w:rPr>
      </w:pPr>
      <w:r w:rsidRPr="00872318">
        <w:rPr>
          <w:rFonts w:ascii="Times New Roman" w:hAnsi="Times New Roman" w:cs="Times New Roman"/>
          <w:sz w:val="24"/>
          <w:szCs w:val="24"/>
        </w:rPr>
        <w:t>Within the terminology and common features of the horror genre, we can perhaps find imaginative language for the relationship between Judaism and Christianity. For example, if Christianity perceives Judaism as having lived inexplicably past their death, what better metaphor for something that lives beyond death than the zombie?</w:t>
      </w:r>
      <w:r w:rsidRPr="00872318">
        <w:rPr>
          <w:rStyle w:val="FootnoteReference"/>
          <w:rFonts w:cs="Times New Roman"/>
          <w:sz w:val="24"/>
          <w:szCs w:val="24"/>
        </w:rPr>
        <w:footnoteReference w:id="35"/>
      </w:r>
      <w:r w:rsidRPr="00872318">
        <w:rPr>
          <w:rFonts w:ascii="Times New Roman" w:hAnsi="Times New Roman" w:cs="Times New Roman"/>
          <w:sz w:val="24"/>
          <w:szCs w:val="24"/>
        </w:rPr>
        <w:t xml:space="preserve"> The figure of the vampire also carries its own anti-Semitic tropes when considered in relation to blood libel accusations, </w:t>
      </w:r>
      <w:r w:rsidRPr="00872318">
        <w:rPr>
          <w:rFonts w:ascii="Times New Roman" w:hAnsi="Times New Roman" w:cs="Times New Roman"/>
          <w:sz w:val="24"/>
          <w:szCs w:val="24"/>
        </w:rPr>
        <w:lastRenderedPageBreak/>
        <w:t>largely propagated by Christian institutions dating back to the Middle Ages.</w:t>
      </w:r>
      <w:r w:rsidRPr="00872318">
        <w:rPr>
          <w:rStyle w:val="FootnoteReference"/>
          <w:rFonts w:cs="Times New Roman"/>
          <w:sz w:val="24"/>
          <w:szCs w:val="24"/>
        </w:rPr>
        <w:footnoteReference w:id="36"/>
      </w:r>
      <w:r w:rsidRPr="00872318">
        <w:rPr>
          <w:rFonts w:ascii="Times New Roman" w:hAnsi="Times New Roman" w:cs="Times New Roman"/>
          <w:sz w:val="24"/>
          <w:szCs w:val="24"/>
        </w:rPr>
        <w:t xml:space="preserve"> However, the aspect of horror that perhaps best expresses the relationship between Judaism and not only Christianity, but also the modern world, is haunting. In his 2013 monograph </w:t>
      </w:r>
      <w:r w:rsidRPr="00872318">
        <w:rPr>
          <w:rFonts w:ascii="Times New Roman" w:hAnsi="Times New Roman" w:cs="Times New Roman"/>
          <w:i/>
          <w:iCs/>
          <w:sz w:val="24"/>
          <w:szCs w:val="24"/>
        </w:rPr>
        <w:t>Hauntings</w:t>
      </w:r>
      <w:r w:rsidRPr="00872318">
        <w:rPr>
          <w:rFonts w:ascii="Times New Roman" w:hAnsi="Times New Roman" w:cs="Times New Roman"/>
          <w:sz w:val="24"/>
          <w:szCs w:val="24"/>
        </w:rPr>
        <w:t xml:space="preserve">, Stephen Frosh writes of the psychoanalytic potential in the language of hauntings. ‘To be haunted’, Frosh writes, ‘is more than to be affected </w:t>
      </w:r>
      <w:r w:rsidRPr="00872318">
        <w:rPr>
          <w:rFonts w:ascii="Times New Roman" w:hAnsi="Times New Roman" w:cs="Times New Roman"/>
          <w:sz w:val="24"/>
          <w:szCs w:val="24"/>
          <w:lang w:val="en-US"/>
        </w:rPr>
        <w:t xml:space="preserve">by what others tell us directly or do to us openly; it is to be influenced by a kind of inner voice that will not stop speaking and cannot be excised, that keeps cropping up to trouble us and stop us going peaceably on our way. It is to harbour a </w:t>
      </w:r>
      <w:r w:rsidRPr="00872318">
        <w:rPr>
          <w:rFonts w:ascii="Times New Roman" w:hAnsi="Times New Roman" w:cs="Times New Roman"/>
          <w:i/>
          <w:iCs/>
          <w:sz w:val="24"/>
          <w:szCs w:val="24"/>
          <w:lang w:val="en-US"/>
        </w:rPr>
        <w:t>presence</w:t>
      </w:r>
      <w:r w:rsidRPr="00872318">
        <w:rPr>
          <w:rFonts w:ascii="Times New Roman" w:hAnsi="Times New Roman" w:cs="Times New Roman"/>
          <w:sz w:val="24"/>
          <w:szCs w:val="24"/>
          <w:lang w:val="en-US"/>
        </w:rPr>
        <w:t xml:space="preserve"> that we are aware of, sometimes overwhelmed by, that embodies elements of a past experience and future anxiety and hope, and that </w:t>
      </w:r>
      <w:r w:rsidRPr="00872318">
        <w:rPr>
          <w:rFonts w:ascii="Times New Roman" w:hAnsi="Times New Roman" w:cs="Times New Roman"/>
          <w:i/>
          <w:iCs/>
          <w:sz w:val="24"/>
          <w:szCs w:val="24"/>
          <w:lang w:val="en-US"/>
        </w:rPr>
        <w:t>will not let us be</w:t>
      </w:r>
      <w:r w:rsidRPr="00872318">
        <w:rPr>
          <w:rFonts w:ascii="Times New Roman" w:hAnsi="Times New Roman" w:cs="Times New Roman"/>
          <w:sz w:val="24"/>
          <w:szCs w:val="24"/>
          <w:lang w:val="en-US"/>
        </w:rPr>
        <w:t>’.</w:t>
      </w:r>
      <w:r w:rsidRPr="00872318">
        <w:rPr>
          <w:rStyle w:val="FootnoteReference"/>
          <w:rFonts w:cs="Times New Roman"/>
          <w:sz w:val="24"/>
          <w:szCs w:val="24"/>
          <w:lang w:val="en-US"/>
        </w:rPr>
        <w:footnoteReference w:id="37"/>
      </w:r>
      <w:r w:rsidRPr="00872318">
        <w:rPr>
          <w:rFonts w:ascii="Times New Roman" w:hAnsi="Times New Roman" w:cs="Times New Roman"/>
          <w:sz w:val="24"/>
          <w:szCs w:val="24"/>
          <w:lang w:val="en-US"/>
        </w:rPr>
        <w:t xml:space="preserve"> While the psychoanalytic element of ghost stories and other narratives of haunting might seem obvious at first glance (particularly in horror studies’ focus on the Freudian return of the repressed), Frosh provides an interesting addition to the theory. In exploring the uniquely Jewish ancestry of psychoanalysis, Frosh highlights first the presence of Judaism and Jewishness as what is repressed at the heart of Europe, and second, the importance of theories of haunting in examining intergenerational reactions to the Holocaust and other historic acts of anti-Semitic violence. Judaism is what haunts Christianity; Judaism, Jewish identity, and the attempts to erase it are what haunts modern Europe. The scars of the Holocaust are still felt deeply across Europe in ways that defy temporality and are not limited exclusively to survivors and descendants of those involved. As Frosh notes, for Jews across the world, the Holocaust became an unnamable, hazy background presence in Jewish life and culture. Thus, in addition to earlier questions of restorative justice, one might question the ways in which the Holocaust haunts Jews, and how that subsequently haunts the world.</w:t>
      </w:r>
    </w:p>
    <w:p w14:paraId="661FD921" w14:textId="77777777" w:rsidR="0009680C" w:rsidRPr="00872318" w:rsidRDefault="0009680C" w:rsidP="0009680C">
      <w:pPr>
        <w:pStyle w:val="Heading2"/>
        <w:spacing w:line="480" w:lineRule="auto"/>
        <w:rPr>
          <w:rFonts w:ascii="Times New Roman" w:hAnsi="Times New Roman" w:cs="Times New Roman"/>
          <w:sz w:val="24"/>
          <w:szCs w:val="24"/>
          <w:lang w:val="en-US"/>
        </w:rPr>
      </w:pPr>
      <w:bookmarkStart w:id="10" w:name="_Toc51249399"/>
      <w:r w:rsidRPr="00872318">
        <w:rPr>
          <w:rFonts w:ascii="Times New Roman" w:hAnsi="Times New Roman" w:cs="Times New Roman"/>
          <w:sz w:val="24"/>
          <w:szCs w:val="24"/>
          <w:lang w:val="en-US"/>
        </w:rPr>
        <w:lastRenderedPageBreak/>
        <w:t>The Return of the Repressed</w:t>
      </w:r>
      <w:bookmarkEnd w:id="10"/>
    </w:p>
    <w:p w14:paraId="6ED9C23E"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t xml:space="preserve">Marcin Wrona’s 2015 film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follows a young man called Piotr as he returns home to Poland to marry Zaneta, his friend’s sister, a woman he has so far only communicated with online. As a blessing to their union and a gesture of goodwill to Piotr who has been an expatriate for many years, Zaneta’s affluent father gifts Piotr land, which Piotr then begins renovating ahead of the wedding. In his renovations, Piotr discovers (and reburies) the skeleton of a young woman. As the wedding reception progresses, Piotr begins behaving erratically and sees a ghostly woman among the crowd of drunken guests, who ultimately possesses him, before both she and Piotr vanish entirely, leaving Zaneta’s family in denial, with her father proclaiming ‘We must forget what we didn’t see here’. Throughout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a pervading sense of Jewishness seeps through. Occasional references, such as Piotr incorrectly smashing a glass in the ceremony, confusing Polish and Jewish versions of the ritual, and a subsequent snide comment that he is ‘possessed by a Jewish demon’. In addition to the complicated feeling of otherness and alienation Piotr feels in his own homeland, with his father-in-law repeatedly calling him by the Anglicised ‘Peter’, establish what we have already suggested are Jewish themes (alienation, anti-Semitism as background noise, etc.).</w:t>
      </w:r>
      <w:r w:rsidRPr="00872318">
        <w:rPr>
          <w:rStyle w:val="FootnoteReference"/>
          <w:rFonts w:cs="Times New Roman"/>
          <w:sz w:val="24"/>
          <w:szCs w:val="24"/>
        </w:rPr>
        <w:footnoteReference w:id="38"/>
      </w:r>
      <w:r w:rsidRPr="00872318">
        <w:rPr>
          <w:rFonts w:ascii="Times New Roman" w:hAnsi="Times New Roman" w:cs="Times New Roman"/>
          <w:sz w:val="24"/>
          <w:szCs w:val="24"/>
        </w:rPr>
        <w:t xml:space="preserve">  However, while most of the characters amiably speak English to him and his otherness is minimised, when elements of Jewishness are spotted in him, such as his later use of Yiddish language, he is increasingly othered. Thus, there are two concurrent discussions of identity, nationality, and history explored in the film: Piotr’s struggle to come to terms with a Polish identity he feels detached from, and the refusal of Zaneta’s family and the wedding guests to acknowledge the repressed Jewish history buried in their own history, as well as literally in their land and property. Rebecca Booth highlights the connection between the landscape and </w:t>
      </w:r>
      <w:r w:rsidRPr="00872318">
        <w:rPr>
          <w:rFonts w:ascii="Times New Roman" w:hAnsi="Times New Roman" w:cs="Times New Roman"/>
          <w:sz w:val="24"/>
          <w:szCs w:val="24"/>
        </w:rPr>
        <w:lastRenderedPageBreak/>
        <w:t xml:space="preserve">the themes of restitution in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suggesting that the scarred landscape that serves as a backdrop for the film, rendered such by the quarrying work of Zaneta’s family, stands in for the family’s war-era profiteering.</w:t>
      </w:r>
      <w:r w:rsidRPr="00872318">
        <w:rPr>
          <w:rStyle w:val="FootnoteReference"/>
          <w:rFonts w:cs="Times New Roman"/>
          <w:sz w:val="24"/>
          <w:szCs w:val="24"/>
        </w:rPr>
        <w:footnoteReference w:id="39"/>
      </w:r>
      <w:r w:rsidRPr="00872318">
        <w:rPr>
          <w:rFonts w:ascii="Times New Roman" w:hAnsi="Times New Roman" w:cs="Times New Roman"/>
          <w:sz w:val="24"/>
          <w:szCs w:val="24"/>
        </w:rPr>
        <w:t xml:space="preserve"> And yet, it is this digging that ultimately brings the past back in the form of Hana’s skeleton – as psychoanalysis suggests, the further we imagine we are moving away from what is repressed, the more likely we are to re-enact it. The very imagery of digging, mining, excavation brings to mind psychoanalysis, in which the therapist seeks to expose the unconscious mind underneath layers of civility and persona. </w:t>
      </w:r>
    </w:p>
    <w:p w14:paraId="32FDBD02"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also highlights the complexity of psychoanalytic theories of haunting in its depiction of dybbuks. The dybbuk is a uniquely Jewish phenomenon, falling somewhere between a ghost that haunts the living and a demon who possesses them. Dybbukim are one of three iterations of soul transmigration. Booth outlines these as follows: first, the gilgul, refers to a soul reincarnated into a new-born child as contrition; second, the ibbur, a righteous entity that possesses a body temporarily to effect positive change; third, the dybbuk, a parasitic entity that is unable to enter the garden of Eden due to the sins they committed while alive or ‘unfinished business’.</w:t>
      </w:r>
      <w:r w:rsidRPr="00872318">
        <w:rPr>
          <w:rStyle w:val="FootnoteReference"/>
          <w:rFonts w:cs="Times New Roman"/>
          <w:sz w:val="24"/>
          <w:szCs w:val="24"/>
        </w:rPr>
        <w:footnoteReference w:id="40"/>
      </w:r>
      <w:r w:rsidRPr="00872318">
        <w:rPr>
          <w:rFonts w:ascii="Times New Roman" w:hAnsi="Times New Roman" w:cs="Times New Roman"/>
          <w:sz w:val="24"/>
          <w:szCs w:val="24"/>
        </w:rPr>
        <w:t xml:space="preserve"> In the figure of the dybbuk, there are ripe opportunities to discuss the past and what is buried. While ghost stories across cultures often have a psychoanalytic bent, with a focus on the return of the repressed and traumas that do not adhere to temporal/spatial rules, the dybbuk offers a specific focus on notions of fixing wrongdoings. While there are iterations of the tale that focus on performing mitzvahs (good deeds) or dealing with ‘unfinished business’ as a lot of Western ghost stories do, the horror of the dybbuk is that it brings </w:t>
      </w:r>
      <w:r w:rsidRPr="00872318">
        <w:rPr>
          <w:rFonts w:ascii="Times New Roman" w:hAnsi="Times New Roman" w:cs="Times New Roman"/>
          <w:i/>
          <w:iCs/>
          <w:sz w:val="24"/>
          <w:szCs w:val="24"/>
        </w:rPr>
        <w:t>justice</w:t>
      </w:r>
      <w:r w:rsidRPr="00872318">
        <w:rPr>
          <w:rFonts w:ascii="Times New Roman" w:hAnsi="Times New Roman" w:cs="Times New Roman"/>
          <w:sz w:val="24"/>
          <w:szCs w:val="24"/>
        </w:rPr>
        <w:t xml:space="preserve">. When Hana possesses Piotr’s body, claiming ‘He is my lover – the man I was promised’, she is encouraged to leave. However, it is in this same </w:t>
      </w:r>
      <w:r w:rsidRPr="00872318">
        <w:rPr>
          <w:rFonts w:ascii="Times New Roman" w:hAnsi="Times New Roman" w:cs="Times New Roman"/>
          <w:sz w:val="24"/>
          <w:szCs w:val="24"/>
        </w:rPr>
        <w:lastRenderedPageBreak/>
        <w:t xml:space="preserve">exchange that it is acknowledged that Hana was wronged (seemingly by Zaneta’s family), and the Jewish character who recognises her as a dybbuk makes a gentle attempt at exorcising her. This scene can be interpreted as using psychoanalytic methods of dealing with a haunting: the repressed that has returned, unwelcomed, to the surface and has been verbally confronted, gently but firmly. But instead of being exorcised or leaving when she sees that she is not welcome, this exchange </w:t>
      </w:r>
      <w:r w:rsidRPr="00872318">
        <w:rPr>
          <w:rFonts w:ascii="Times New Roman" w:hAnsi="Times New Roman" w:cs="Times New Roman"/>
          <w:i/>
          <w:iCs/>
          <w:sz w:val="24"/>
          <w:szCs w:val="24"/>
        </w:rPr>
        <w:t xml:space="preserve">empowers </w:t>
      </w:r>
      <w:r w:rsidRPr="00872318">
        <w:rPr>
          <w:rFonts w:ascii="Times New Roman" w:hAnsi="Times New Roman" w:cs="Times New Roman"/>
          <w:sz w:val="24"/>
          <w:szCs w:val="24"/>
        </w:rPr>
        <w:t xml:space="preserve">Hana. This is the last time we see Piotr/Hana, as she later takes full control of his body and vanishes, fleeing the wedding.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reminds us of a truth that Frosh points out: psychoanalysis is an inherently colonial set of theories and practices, from its language in identifying the ‘primitive’ and the ‘savage’ of the id to the focus on repression.</w:t>
      </w:r>
      <w:r w:rsidRPr="00872318">
        <w:rPr>
          <w:rStyle w:val="FootnoteReference"/>
          <w:rFonts w:cs="Times New Roman"/>
          <w:sz w:val="24"/>
          <w:szCs w:val="24"/>
        </w:rPr>
        <w:footnoteReference w:id="41"/>
      </w:r>
      <w:r w:rsidRPr="00872318">
        <w:rPr>
          <w:rFonts w:ascii="Times New Roman" w:hAnsi="Times New Roman" w:cs="Times New Roman"/>
          <w:sz w:val="24"/>
          <w:szCs w:val="24"/>
        </w:rPr>
        <w:t xml:space="preserve"> While psychoanalysis can be used as a tool in examining the colonial and the post-colonial, in acknowledging the crimes committed against oppressed peoples, the potential for restitution and justice is also acknowledged, linking it to debate over ongoing debates about how reparations could be made for the Holocaust. It is this revelation that empowers Hana to fully inhabit Piotr’s body. Thus, typical narratives of haunting are complicated with the figure of the dybbuk. Frosh attempts to tackle this, writing:</w:t>
      </w:r>
    </w:p>
    <w:p w14:paraId="4B48D290" w14:textId="77777777" w:rsidR="0009680C" w:rsidRPr="00872318" w:rsidRDefault="0009680C" w:rsidP="0009680C">
      <w:pPr>
        <w:spacing w:line="480" w:lineRule="auto"/>
        <w:ind w:left="720"/>
        <w:rPr>
          <w:rFonts w:ascii="Times New Roman" w:hAnsi="Times New Roman" w:cs="Times New Roman"/>
          <w:sz w:val="24"/>
          <w:szCs w:val="24"/>
          <w:lang w:val="en-US"/>
        </w:rPr>
      </w:pPr>
      <w:r w:rsidRPr="00872318">
        <w:rPr>
          <w:rFonts w:ascii="Times New Roman" w:hAnsi="Times New Roman" w:cs="Times New Roman"/>
          <w:i/>
          <w:iCs/>
          <w:sz w:val="24"/>
          <w:szCs w:val="24"/>
          <w:lang w:val="en-US"/>
        </w:rPr>
        <w:t>‘They [hauntings] happen because there are people who are made ghostly by the silencing of their voices; and even if these people belong to the past, the effects of their silencing, of their writing out from history, can be felt today. Because of this, ghosts cannot be removed just by being spoken about; they can only be set free by some kind of action to bring them the justice they deserve. Haunting therefore demands a liberatory practice’</w:t>
      </w:r>
      <w:r w:rsidRPr="00872318">
        <w:rPr>
          <w:rStyle w:val="FootnoteReference"/>
          <w:rFonts w:cs="Times New Roman"/>
          <w:sz w:val="24"/>
          <w:szCs w:val="24"/>
          <w:lang w:val="en-US"/>
        </w:rPr>
        <w:footnoteReference w:id="42"/>
      </w:r>
    </w:p>
    <w:p w14:paraId="43C2BA2D" w14:textId="77777777" w:rsidR="0009680C" w:rsidRPr="00872318" w:rsidRDefault="0009680C" w:rsidP="0009680C">
      <w:pPr>
        <w:spacing w:line="480" w:lineRule="auto"/>
        <w:rPr>
          <w:rFonts w:ascii="Times New Roman" w:hAnsi="Times New Roman" w:cs="Times New Roman"/>
          <w:sz w:val="24"/>
          <w:szCs w:val="24"/>
          <w:lang w:val="en-US"/>
        </w:rPr>
      </w:pPr>
      <w:r w:rsidRPr="00872318">
        <w:rPr>
          <w:rFonts w:ascii="Times New Roman" w:hAnsi="Times New Roman" w:cs="Times New Roman"/>
          <w:sz w:val="24"/>
          <w:szCs w:val="24"/>
          <w:lang w:val="en-US"/>
        </w:rPr>
        <w:t xml:space="preserve">However, in dybbuk stories, audiences are faced with a dilemma: are they to sympathise with the dybbuk and condone the ‘liberatory practice’ that Frosh suggests such hauntings demand, </w:t>
      </w:r>
      <w:r w:rsidRPr="00872318">
        <w:rPr>
          <w:rFonts w:ascii="Times New Roman" w:hAnsi="Times New Roman" w:cs="Times New Roman"/>
          <w:sz w:val="24"/>
          <w:szCs w:val="24"/>
          <w:lang w:val="en-US"/>
        </w:rPr>
        <w:lastRenderedPageBreak/>
        <w:t xml:space="preserve">or are they to support the embattled status quo? The dybbuk, particularly in </w:t>
      </w:r>
      <w:r w:rsidRPr="00872318">
        <w:rPr>
          <w:rFonts w:ascii="Times New Roman" w:hAnsi="Times New Roman" w:cs="Times New Roman"/>
          <w:i/>
          <w:iCs/>
          <w:sz w:val="24"/>
          <w:szCs w:val="24"/>
          <w:lang w:val="en-US"/>
        </w:rPr>
        <w:t>Demon</w:t>
      </w:r>
      <w:r w:rsidRPr="00872318">
        <w:rPr>
          <w:rFonts w:ascii="Times New Roman" w:hAnsi="Times New Roman" w:cs="Times New Roman"/>
          <w:sz w:val="24"/>
          <w:szCs w:val="24"/>
          <w:lang w:val="en-US"/>
        </w:rPr>
        <w:t xml:space="preserve">, walks a tightrope between being a figure of restitution and a figure of retribution, as they often torment those they cling to. If we compare dybbukim to demons, the moral ambiguity becomes clear: demons are often not individual spirits, but representatives of a holistic, all-encompassing idea of evil, with a vague malicious agenda, whereas the dybbuk is a specific soul, with a specific intention. The two share the theme of overriding the victim’s bodily autonomy, but with crucially different intentions. While the demon does this to enact evil, the dybbuk does this to restore a sense of justice. While the demon mostly offers narratives that straightforwardly pit ‘good’ (Christian victims) against ‘evil’ (Satanic villains), the dybbuk encourages audiences to question whether the need for justice can or should override an individual’s bodily autonomy, as well as the jurisdiction for historical crimes (perhaps the only exception to this rule is the first mainstream dybbuk text, Ansky’s play </w:t>
      </w:r>
      <w:r w:rsidRPr="00872318">
        <w:rPr>
          <w:rFonts w:ascii="Times New Roman" w:hAnsi="Times New Roman" w:cs="Times New Roman"/>
          <w:i/>
          <w:iCs/>
          <w:sz w:val="24"/>
          <w:szCs w:val="24"/>
          <w:lang w:val="en-US"/>
        </w:rPr>
        <w:t>The Dybbuk</w:t>
      </w:r>
      <w:r w:rsidRPr="00872318">
        <w:rPr>
          <w:rFonts w:ascii="Times New Roman" w:hAnsi="Times New Roman" w:cs="Times New Roman"/>
          <w:sz w:val="24"/>
          <w:szCs w:val="24"/>
          <w:lang w:val="en-US"/>
        </w:rPr>
        <w:t>, in which possession is consensual). Zaneta and her family still benefit financially from Hana’s suffering, as suggested by her skeleton being buried on what is now their property, and therefore questions are raised regarding whether the actions of the dybbuk are justified. While psychoanalytic theorists such as Frosh might argue that the dybbuk can only be exorcised via liberation, this blurs the line between restorative and retributive justice, with liberation in most dybbuk narrative perhaps resembling revenge more than justice. The moral ambiguity inherent in dybbuk stories is a theme that would not be immediately possible in non-Jewish horror, erasing boundaries between notions of victims and villains in favour of examining the more complex nuances in issues of restorative justice.</w:t>
      </w:r>
    </w:p>
    <w:p w14:paraId="206D1E5A" w14:textId="77777777" w:rsidR="0009680C" w:rsidRPr="00872318" w:rsidRDefault="0009680C" w:rsidP="0009680C">
      <w:pPr>
        <w:spacing w:line="480" w:lineRule="auto"/>
        <w:rPr>
          <w:rFonts w:ascii="Times New Roman" w:hAnsi="Times New Roman" w:cs="Times New Roman"/>
          <w:sz w:val="24"/>
          <w:szCs w:val="24"/>
          <w:lang w:val="en-US"/>
        </w:rPr>
      </w:pPr>
      <w:r w:rsidRPr="00872318">
        <w:rPr>
          <w:rFonts w:ascii="Times New Roman" w:hAnsi="Times New Roman" w:cs="Times New Roman"/>
          <w:sz w:val="24"/>
          <w:szCs w:val="24"/>
        </w:rPr>
        <w:t xml:space="preserve">Perhaps this is the crux of why dybbuk narratives are so terrifying: not only do they threaten the status quo, but they make audiences question their complicity in it, and whether the status quo is worth re-establishing. In the final act of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Piotr’s car is unceremoniously rolled off a cliff into a vast quarry by a member of the wedding party, completing his erasure from </w:t>
      </w:r>
      <w:r w:rsidRPr="00872318">
        <w:rPr>
          <w:rFonts w:ascii="Times New Roman" w:hAnsi="Times New Roman" w:cs="Times New Roman"/>
          <w:sz w:val="24"/>
          <w:szCs w:val="24"/>
        </w:rPr>
        <w:lastRenderedPageBreak/>
        <w:t xml:space="preserve">history. The shot is distant, with the car swallowed by the enormity of the ruined landscape, and it highlights the ultimate pragmatism inherent in those who seek to bury the past. The disposal of Piotr’s car is simply tying up loose ends, ensuring nobody will come in search of what is being erased. Once again, inconvenient truths are hidden in the very earth of the Polish countryside. Much like Hana’s skeleton, this is evidence that can resurface, no matter how deeply it is buried. The car also indicates the significant absence of Piotr in these final scenes. With no body to bury, the status quo has been thoroughly endangered, and all there is left to hide are the symbols of stolen wealth. In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the dybbuk has, in a sense, won, claiming back what she sees as rightfully hers. We see this reversal of power dynamics throughout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with Piotr’s youth and masculinity and the wealth and influence of Zaneta’s family being thrown into disarray by the presence of the dybbuk. While traditional dybbuk tales often feature a woman possessed (</w:t>
      </w:r>
      <w:r w:rsidRPr="00872318">
        <w:rPr>
          <w:rFonts w:ascii="Times New Roman" w:hAnsi="Times New Roman" w:cs="Times New Roman"/>
          <w:i/>
          <w:iCs/>
          <w:sz w:val="24"/>
          <w:szCs w:val="24"/>
        </w:rPr>
        <w:t>The Dybbuk</w:t>
      </w:r>
      <w:r w:rsidRPr="00872318">
        <w:rPr>
          <w:rFonts w:ascii="Times New Roman" w:hAnsi="Times New Roman" w:cs="Times New Roman"/>
          <w:sz w:val="24"/>
          <w:szCs w:val="24"/>
        </w:rPr>
        <w:t xml:space="preserve">, </w:t>
      </w:r>
      <w:r w:rsidRPr="00872318">
        <w:rPr>
          <w:rFonts w:ascii="Times New Roman" w:hAnsi="Times New Roman" w:cs="Times New Roman"/>
          <w:i/>
          <w:iCs/>
          <w:sz w:val="24"/>
          <w:szCs w:val="24"/>
        </w:rPr>
        <w:t>The Possession</w:t>
      </w:r>
      <w:r w:rsidRPr="00872318">
        <w:rPr>
          <w:rFonts w:ascii="Times New Roman" w:hAnsi="Times New Roman" w:cs="Times New Roman"/>
          <w:sz w:val="24"/>
          <w:szCs w:val="24"/>
        </w:rPr>
        <w:t xml:space="preserve"> (2012)),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flips this, depicting a male victim/host. Not only is this a reversal of the typical dybbuk tale, but it also reverses horror’s much-criticised habit of victimising young women. Marcin Wrona uses the dybbuk as a herald of reversed power dynamics in every regard, with Hana’s presence exposing who is truly in power and who is oppressed. </w:t>
      </w:r>
      <w:r w:rsidRPr="00872318">
        <w:rPr>
          <w:rFonts w:ascii="Times New Roman" w:hAnsi="Times New Roman" w:cs="Times New Roman"/>
          <w:sz w:val="24"/>
          <w:szCs w:val="24"/>
          <w:lang w:val="en-US"/>
        </w:rPr>
        <w:t xml:space="preserve">In the framework Frosh outlines, haunting is a social, cultural, and psychological phenomenon that can be experienced by both the individual and the collective. In </w:t>
      </w:r>
      <w:r w:rsidRPr="00872318">
        <w:rPr>
          <w:rFonts w:ascii="Times New Roman" w:hAnsi="Times New Roman" w:cs="Times New Roman"/>
          <w:i/>
          <w:iCs/>
          <w:sz w:val="24"/>
          <w:szCs w:val="24"/>
          <w:lang w:val="en-US"/>
        </w:rPr>
        <w:t>Demon</w:t>
      </w:r>
      <w:r w:rsidRPr="00872318">
        <w:rPr>
          <w:rFonts w:ascii="Times New Roman" w:hAnsi="Times New Roman" w:cs="Times New Roman"/>
          <w:sz w:val="24"/>
          <w:szCs w:val="24"/>
          <w:lang w:val="en-US"/>
        </w:rPr>
        <w:t>, Marcin Wrona portrays both an individual and collective haunting in ‘haunted language’, with Hana/Piotr speaking Yiddish as an allusion to the repressed past.</w:t>
      </w:r>
      <w:r w:rsidRPr="00872318">
        <w:rPr>
          <w:rStyle w:val="FootnoteReference"/>
          <w:rFonts w:cs="Times New Roman"/>
          <w:sz w:val="24"/>
          <w:szCs w:val="24"/>
          <w:lang w:val="en-US"/>
        </w:rPr>
        <w:footnoteReference w:id="43"/>
      </w:r>
      <w:r w:rsidRPr="00872318">
        <w:rPr>
          <w:rFonts w:ascii="Times New Roman" w:hAnsi="Times New Roman" w:cs="Times New Roman"/>
          <w:sz w:val="24"/>
          <w:szCs w:val="24"/>
          <w:lang w:val="en-US"/>
        </w:rPr>
        <w:t xml:space="preserve"> In addition to this, as the narrative progresses and Zaneta’s father regains some semblance of control, he begins speaking in Russian, what </w:t>
      </w:r>
      <w:r w:rsidRPr="00872318">
        <w:rPr>
          <w:rFonts w:ascii="Times New Roman" w:hAnsi="Times New Roman" w:cs="Times New Roman"/>
          <w:sz w:val="24"/>
          <w:szCs w:val="24"/>
          <w:lang w:val="en-US"/>
        </w:rPr>
        <w:lastRenderedPageBreak/>
        <w:t>Booth describes as the ‘language of the oppressors’ in a Polish context.</w:t>
      </w:r>
      <w:r w:rsidRPr="00872318">
        <w:rPr>
          <w:rStyle w:val="FootnoteReference"/>
          <w:rFonts w:cs="Times New Roman"/>
          <w:sz w:val="24"/>
          <w:szCs w:val="24"/>
          <w:lang w:val="en-US"/>
        </w:rPr>
        <w:footnoteReference w:id="44"/>
      </w:r>
      <w:r w:rsidRPr="00872318">
        <w:rPr>
          <w:rFonts w:ascii="Times New Roman" w:hAnsi="Times New Roman" w:cs="Times New Roman"/>
          <w:sz w:val="24"/>
          <w:szCs w:val="24"/>
          <w:lang w:val="en-US"/>
        </w:rPr>
        <w:t xml:space="preserve"> The specific type of haunting enacted by a dybbuk, as depicted in </w:t>
      </w:r>
      <w:r w:rsidRPr="00872318">
        <w:rPr>
          <w:rFonts w:ascii="Times New Roman" w:hAnsi="Times New Roman" w:cs="Times New Roman"/>
          <w:i/>
          <w:iCs/>
          <w:sz w:val="24"/>
          <w:szCs w:val="24"/>
          <w:lang w:val="en-US"/>
        </w:rPr>
        <w:t>Demon</w:t>
      </w:r>
      <w:r w:rsidRPr="00872318">
        <w:rPr>
          <w:rFonts w:ascii="Times New Roman" w:hAnsi="Times New Roman" w:cs="Times New Roman"/>
          <w:sz w:val="24"/>
          <w:szCs w:val="24"/>
          <w:lang w:val="en-US"/>
        </w:rPr>
        <w:t>, is horrifying to modern audiences particularly in this context of Polish-Jewish relations as it confronts audiences’ complicity. Both the individual (Piotr) and the collective (the wedding party) are forced to confront the true source of their wealth and influence: the betrayal of the Jews during the Holocaust. Wrona is able to depict this in everything from the languages spoken by the characters, to the scarred, exploited landscape, and crucially, the deliberately ignorant revelry of the partygoers, who strive at every point to ignore the death and destruction around them.</w:t>
      </w:r>
    </w:p>
    <w:p w14:paraId="1532198C"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lang w:val="en-US"/>
        </w:rPr>
        <w:tab/>
        <w:t xml:space="preserve">This return of the repressed, within the context of Jewish monsters, provides two crucial insights into the sub-genre. Not only does it provide an empowering route to discuss issues of reparations and restorative justice following the Holocaust, but </w:t>
      </w:r>
      <w:r w:rsidRPr="00872318">
        <w:rPr>
          <w:rFonts w:ascii="Times New Roman" w:hAnsi="Times New Roman" w:cs="Times New Roman"/>
          <w:sz w:val="24"/>
          <w:szCs w:val="24"/>
        </w:rPr>
        <w:t xml:space="preserve">also interrogates the complicity of gentiles and their role in Jewish horror as an ambiguous villain and victim. After all, the dybbuk is a stark reminder that this suffering is of the victims’ own design. Interrogating Jewish monstrosity, films such as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again provide sympathy for the monster while de-centring gentile experience and focusing on morally ambiguous ideas of restorative justice rather than the binary values of Christian horror such as sin and punishment.</w:t>
      </w:r>
    </w:p>
    <w:p w14:paraId="3E0AC1D6" w14:textId="77777777" w:rsidR="0009680C" w:rsidRPr="00872318" w:rsidRDefault="0009680C" w:rsidP="0009680C">
      <w:pPr>
        <w:pStyle w:val="Heading1"/>
        <w:spacing w:line="480" w:lineRule="auto"/>
        <w:rPr>
          <w:rFonts w:ascii="Times New Roman" w:hAnsi="Times New Roman" w:cs="Times New Roman"/>
          <w:sz w:val="24"/>
          <w:szCs w:val="24"/>
        </w:rPr>
      </w:pPr>
      <w:bookmarkStart w:id="11" w:name="_Toc51249400"/>
      <w:r w:rsidRPr="00872318">
        <w:rPr>
          <w:rFonts w:ascii="Times New Roman" w:hAnsi="Times New Roman" w:cs="Times New Roman"/>
          <w:sz w:val="24"/>
          <w:szCs w:val="24"/>
        </w:rPr>
        <w:t>Chapter Three: Rosemary’s Baby</w:t>
      </w:r>
      <w:bookmarkEnd w:id="11"/>
    </w:p>
    <w:p w14:paraId="3DBB0E80" w14:textId="77777777" w:rsidR="0009680C" w:rsidRPr="00872318" w:rsidRDefault="0009680C" w:rsidP="0009680C">
      <w:pPr>
        <w:pStyle w:val="Heading2"/>
        <w:spacing w:line="480" w:lineRule="auto"/>
        <w:rPr>
          <w:rFonts w:ascii="Times New Roman" w:hAnsi="Times New Roman" w:cs="Times New Roman"/>
          <w:sz w:val="24"/>
          <w:szCs w:val="24"/>
        </w:rPr>
      </w:pPr>
      <w:bookmarkStart w:id="12" w:name="_Toc51249401"/>
      <w:r w:rsidRPr="00872318">
        <w:rPr>
          <w:rFonts w:ascii="Times New Roman" w:hAnsi="Times New Roman" w:cs="Times New Roman"/>
          <w:sz w:val="24"/>
          <w:szCs w:val="24"/>
        </w:rPr>
        <w:t>‘Catholic Drag’</w:t>
      </w:r>
      <w:bookmarkEnd w:id="12"/>
    </w:p>
    <w:p w14:paraId="4C282395"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In a lecture given for the Miskatonic Institute in March 2020, Dr Mikel Koven suggested the idea of horror movies adopting a kind of ‘Jewish drag’. The lecture (initially an </w:t>
      </w:r>
      <w:r w:rsidRPr="00872318">
        <w:rPr>
          <w:rFonts w:ascii="Times New Roman" w:hAnsi="Times New Roman" w:cs="Times New Roman"/>
          <w:sz w:val="24"/>
          <w:szCs w:val="24"/>
        </w:rPr>
        <w:lastRenderedPageBreak/>
        <w:t>article on Dr Koven’s blog)</w:t>
      </w:r>
      <w:r w:rsidRPr="00872318">
        <w:rPr>
          <w:rStyle w:val="FootnoteReference"/>
          <w:rFonts w:cs="Times New Roman"/>
          <w:sz w:val="24"/>
          <w:szCs w:val="24"/>
        </w:rPr>
        <w:footnoteReference w:id="45"/>
      </w:r>
      <w:r w:rsidRPr="00872318">
        <w:rPr>
          <w:rFonts w:ascii="Times New Roman" w:hAnsi="Times New Roman" w:cs="Times New Roman"/>
          <w:sz w:val="24"/>
          <w:szCs w:val="24"/>
        </w:rPr>
        <w:t xml:space="preserve"> offers several examples of narratives that use Jewish theology, folklore, and culture to tell distinctly Gentile, if not overtly Christian narratives.</w:t>
      </w:r>
      <w:r w:rsidRPr="00872318">
        <w:rPr>
          <w:rStyle w:val="FootnoteReference"/>
          <w:rFonts w:cs="Times New Roman"/>
          <w:sz w:val="24"/>
          <w:szCs w:val="24"/>
        </w:rPr>
        <w:footnoteReference w:id="46"/>
      </w:r>
      <w:r w:rsidRPr="00872318">
        <w:rPr>
          <w:rFonts w:ascii="Times New Roman" w:hAnsi="Times New Roman" w:cs="Times New Roman"/>
          <w:sz w:val="24"/>
          <w:szCs w:val="24"/>
        </w:rPr>
        <w:t xml:space="preserve"> Koven’s examples, including </w:t>
      </w:r>
      <w:r w:rsidRPr="00872318">
        <w:rPr>
          <w:rFonts w:ascii="Times New Roman" w:hAnsi="Times New Roman" w:cs="Times New Roman"/>
          <w:i/>
          <w:iCs/>
          <w:sz w:val="24"/>
          <w:szCs w:val="24"/>
        </w:rPr>
        <w:t>The Exorcist</w:t>
      </w:r>
      <w:r w:rsidRPr="00872318">
        <w:rPr>
          <w:rFonts w:ascii="Times New Roman" w:hAnsi="Times New Roman" w:cs="Times New Roman"/>
          <w:sz w:val="24"/>
          <w:szCs w:val="24"/>
        </w:rPr>
        <w:t xml:space="preserve"> (1973), William Peter Blatty’s </w:t>
      </w:r>
      <w:r w:rsidRPr="00872318">
        <w:rPr>
          <w:rFonts w:ascii="Times New Roman" w:hAnsi="Times New Roman" w:cs="Times New Roman"/>
          <w:i/>
          <w:iCs/>
          <w:sz w:val="24"/>
          <w:szCs w:val="24"/>
        </w:rPr>
        <w:t>The Exorcist III: Legion</w:t>
      </w:r>
      <w:r w:rsidRPr="00872318">
        <w:rPr>
          <w:rFonts w:ascii="Times New Roman" w:hAnsi="Times New Roman" w:cs="Times New Roman"/>
          <w:sz w:val="24"/>
          <w:szCs w:val="24"/>
        </w:rPr>
        <w:t xml:space="preserve"> (1990), Carl Schultz’s </w:t>
      </w:r>
      <w:r w:rsidRPr="00872318">
        <w:rPr>
          <w:rFonts w:ascii="Times New Roman" w:hAnsi="Times New Roman" w:cs="Times New Roman"/>
          <w:i/>
          <w:iCs/>
          <w:sz w:val="24"/>
          <w:szCs w:val="24"/>
        </w:rPr>
        <w:t>The Seventh Sign</w:t>
      </w:r>
      <w:r w:rsidRPr="00872318">
        <w:rPr>
          <w:rFonts w:ascii="Times New Roman" w:hAnsi="Times New Roman" w:cs="Times New Roman"/>
          <w:sz w:val="24"/>
          <w:szCs w:val="24"/>
        </w:rPr>
        <w:t xml:space="preserve"> (1988), and David S. Goyer’s </w:t>
      </w:r>
      <w:r w:rsidRPr="00872318">
        <w:rPr>
          <w:rFonts w:ascii="Times New Roman" w:hAnsi="Times New Roman" w:cs="Times New Roman"/>
          <w:i/>
          <w:iCs/>
          <w:sz w:val="24"/>
          <w:szCs w:val="24"/>
        </w:rPr>
        <w:t>The Unborn</w:t>
      </w:r>
      <w:r w:rsidRPr="00872318">
        <w:rPr>
          <w:rFonts w:ascii="Times New Roman" w:hAnsi="Times New Roman" w:cs="Times New Roman"/>
          <w:sz w:val="24"/>
          <w:szCs w:val="24"/>
        </w:rPr>
        <w:t xml:space="preserve"> (2009), all utilise Jewishness, whether through overtly Jewish characters, agnosticism framed through a Jewish perspective, the existence of dybbukim, or Jewish eschatology (the area of Jewish theology that discusses the role of Jews in the end of days, etc.). However, the Jewish trappings of these narratives seem to function not as Jewish horror in their own right, but as a means of reinforcing Gentile narratives, such as a deeply Christian/hardline evangelical ‘end of days’ process in The Seventh Sign and Christian notions of demonic possession in The Exorcist series. While Koven concedes that films such as Ole Bornedal’s </w:t>
      </w:r>
      <w:r w:rsidRPr="00872318">
        <w:rPr>
          <w:rFonts w:ascii="Times New Roman" w:hAnsi="Times New Roman" w:cs="Times New Roman"/>
          <w:i/>
          <w:iCs/>
          <w:sz w:val="24"/>
          <w:szCs w:val="24"/>
        </w:rPr>
        <w:t>The Possession</w:t>
      </w:r>
      <w:r w:rsidRPr="00872318">
        <w:rPr>
          <w:rFonts w:ascii="Times New Roman" w:hAnsi="Times New Roman" w:cs="Times New Roman"/>
          <w:sz w:val="24"/>
          <w:szCs w:val="24"/>
        </w:rPr>
        <w:t xml:space="preserve"> subvert this somewhat by grounding themselves firmly in Jewish cosmology and granting no power to Christianity, this is quite clearly the exception to the rule. Thus, ‘Jewish drag’ comes to identify a trend in Jewish horror that can be attributed to both lazy, poorly researched creative decisions and to the genre itself leaning towards Christianity and Christian cosmology, even when it claims to try not to.</w:t>
      </w:r>
    </w:p>
    <w:p w14:paraId="3AE9F83A"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Christian iconography and cosmology are perhaps the most recognisable in the Western world. With Christianity having a stranglehold over most of Europe for several centuries and large amounts of early modern visual art being devoted to religious scenes or figures, even the most agnostic and atheist among us are familiar with certain images: the crucifixion, the resurrection, the Virgin Mary, and the Eucharist/Holy Communion to name a few. However, the ubiquity of these images has somewhat defanged them. In Jewish </w:t>
      </w:r>
      <w:r w:rsidRPr="00872318">
        <w:rPr>
          <w:rFonts w:ascii="Times New Roman" w:hAnsi="Times New Roman" w:cs="Times New Roman"/>
          <w:sz w:val="24"/>
          <w:szCs w:val="24"/>
        </w:rPr>
        <w:lastRenderedPageBreak/>
        <w:t xml:space="preserve">cosmology and theology, creators within the horror genre can find new iconography to inspire religious terror. However, Dr Koven notes that the use of Jewish concepts often results in a narrative that supports Christianity, rather than Judaism, particularly in his example of </w:t>
      </w:r>
      <w:r w:rsidRPr="00872318">
        <w:rPr>
          <w:rFonts w:ascii="Times New Roman" w:hAnsi="Times New Roman" w:cs="Times New Roman"/>
          <w:i/>
          <w:iCs/>
          <w:sz w:val="24"/>
          <w:szCs w:val="24"/>
        </w:rPr>
        <w:t>The Seventh Sign</w:t>
      </w:r>
      <w:r w:rsidRPr="00872318">
        <w:rPr>
          <w:rFonts w:ascii="Times New Roman" w:hAnsi="Times New Roman" w:cs="Times New Roman"/>
          <w:sz w:val="24"/>
          <w:szCs w:val="24"/>
        </w:rPr>
        <w:t>:</w:t>
      </w:r>
    </w:p>
    <w:p w14:paraId="3CE48E88" w14:textId="77777777" w:rsidR="0009680C" w:rsidRPr="00872318" w:rsidRDefault="0009680C" w:rsidP="0009680C">
      <w:pPr>
        <w:autoSpaceDE w:val="0"/>
        <w:autoSpaceDN w:val="0"/>
        <w:adjustRightInd w:val="0"/>
        <w:spacing w:line="480" w:lineRule="auto"/>
        <w:ind w:left="720"/>
        <w:rPr>
          <w:rFonts w:ascii="Times New Roman" w:hAnsi="Times New Roman" w:cs="Times New Roman"/>
          <w:i/>
          <w:iCs/>
          <w:sz w:val="24"/>
          <w:szCs w:val="24"/>
        </w:rPr>
      </w:pPr>
      <w:r w:rsidRPr="00872318">
        <w:rPr>
          <w:rFonts w:ascii="Times New Roman" w:hAnsi="Times New Roman" w:cs="Times New Roman"/>
          <w:i/>
          <w:iCs/>
          <w:sz w:val="24"/>
          <w:szCs w:val="24"/>
        </w:rPr>
        <w:t>‘</w:t>
      </w:r>
      <w:r w:rsidRPr="00872318">
        <w:rPr>
          <w:rFonts w:ascii="Times New Roman" w:hAnsi="Times New Roman" w:cs="Times New Roman"/>
          <w:sz w:val="24"/>
          <w:szCs w:val="24"/>
        </w:rPr>
        <w:t>The Seventh Sign</w:t>
      </w:r>
      <w:r w:rsidRPr="00872318">
        <w:rPr>
          <w:rFonts w:ascii="Times New Roman" w:hAnsi="Times New Roman" w:cs="Times New Roman"/>
          <w:i/>
          <w:iCs/>
          <w:sz w:val="24"/>
          <w:szCs w:val="24"/>
        </w:rPr>
        <w:t xml:space="preserve"> is problematic from a Jewish perspective because the metaphysical universe is clearly predicated on Christian belief, particularly in the truth revealed by the Book of Revelations. “The Jew” functions merely as an aid to assist Christianity. The literal truth of Christianity is presented on-screen within the film’s narrative; it is not an interpretation or a code of ethics. Like </w:t>
      </w:r>
      <w:r w:rsidRPr="00872318">
        <w:rPr>
          <w:rFonts w:ascii="Times New Roman" w:hAnsi="Times New Roman" w:cs="Times New Roman"/>
          <w:sz w:val="24"/>
          <w:szCs w:val="24"/>
        </w:rPr>
        <w:t>in The Exorcist III: Legion</w:t>
      </w:r>
      <w:r w:rsidRPr="00872318">
        <w:rPr>
          <w:rFonts w:ascii="Times New Roman" w:hAnsi="Times New Roman" w:cs="Times New Roman"/>
          <w:i/>
          <w:iCs/>
          <w:sz w:val="24"/>
          <w:szCs w:val="24"/>
        </w:rPr>
        <w:t>, the Christian mythology is literally true… In </w:t>
      </w:r>
      <w:r w:rsidRPr="00872318">
        <w:rPr>
          <w:rFonts w:ascii="Times New Roman" w:hAnsi="Times New Roman" w:cs="Times New Roman"/>
          <w:sz w:val="24"/>
          <w:szCs w:val="24"/>
        </w:rPr>
        <w:t>The Seventh Sign</w:t>
      </w:r>
      <w:r w:rsidRPr="00872318">
        <w:rPr>
          <w:rFonts w:ascii="Times New Roman" w:hAnsi="Times New Roman" w:cs="Times New Roman"/>
          <w:i/>
          <w:iCs/>
          <w:sz w:val="24"/>
          <w:szCs w:val="24"/>
        </w:rPr>
        <w:t> the story centres on the Jewish idea of “the Guf” – the well of souls in Jewish mysticism which will eventually be empty and thereby bring about the Apocalypse. Through Abby’s sacrifice of herself for her baby’s life, the Guf is refilled by the Messiah; Christ has returned… Despite the Jewish trappings, including the Guf, </w:t>
      </w:r>
      <w:r w:rsidRPr="00872318">
        <w:rPr>
          <w:rFonts w:ascii="Times New Roman" w:hAnsi="Times New Roman" w:cs="Times New Roman"/>
          <w:sz w:val="24"/>
          <w:szCs w:val="24"/>
        </w:rPr>
        <w:t>The Seventh Sign</w:t>
      </w:r>
      <w:r w:rsidRPr="00872318">
        <w:rPr>
          <w:rFonts w:ascii="Times New Roman" w:hAnsi="Times New Roman" w:cs="Times New Roman"/>
          <w:i/>
          <w:iCs/>
          <w:sz w:val="24"/>
          <w:szCs w:val="24"/>
        </w:rPr>
        <w:t> is a strongly Christian film which occasionally wears Jewish drag for legitimacy and authenticity. By recognizing the Jewish role within Christian mythology, films like </w:t>
      </w:r>
      <w:r w:rsidRPr="00872318">
        <w:rPr>
          <w:rFonts w:ascii="Times New Roman" w:hAnsi="Times New Roman" w:cs="Times New Roman"/>
          <w:sz w:val="24"/>
          <w:szCs w:val="24"/>
        </w:rPr>
        <w:t>The Seventh Sign</w:t>
      </w:r>
      <w:r w:rsidRPr="00872318">
        <w:rPr>
          <w:rFonts w:ascii="Times New Roman" w:hAnsi="Times New Roman" w:cs="Times New Roman"/>
          <w:i/>
          <w:iCs/>
          <w:sz w:val="24"/>
          <w:szCs w:val="24"/>
        </w:rPr>
        <w:t xml:space="preserve"> use elements of Judaism to justify its own (and self-serving) “Judeo-Christianity”.</w:t>
      </w:r>
      <w:r w:rsidRPr="00872318">
        <w:rPr>
          <w:rStyle w:val="FootnoteReference"/>
          <w:rFonts w:cs="Times New Roman"/>
          <w:i/>
          <w:iCs/>
          <w:sz w:val="24"/>
          <w:szCs w:val="24"/>
        </w:rPr>
        <w:footnoteReference w:id="47"/>
      </w:r>
    </w:p>
    <w:p w14:paraId="273CB97F"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Judaism is rarely invoked in service of Jewish horror, instead bolstering Christian horror. The use of a non-conventional iconography in horror strengthens the norm instead of subverting or questioning it, and audiences/readers are left with an amalgamated vision of Judeo-</w:t>
      </w:r>
      <w:r w:rsidRPr="00872318">
        <w:rPr>
          <w:rFonts w:ascii="Times New Roman" w:hAnsi="Times New Roman" w:cs="Times New Roman"/>
          <w:sz w:val="24"/>
          <w:szCs w:val="24"/>
        </w:rPr>
        <w:lastRenderedPageBreak/>
        <w:t>Christianity, in which the other Abrahamic religions are only valid if they become supporting players in Christian narratives.</w:t>
      </w:r>
      <w:r w:rsidRPr="00872318">
        <w:rPr>
          <w:rStyle w:val="FootnoteReference"/>
          <w:rFonts w:cs="Times New Roman"/>
          <w:sz w:val="24"/>
          <w:szCs w:val="24"/>
        </w:rPr>
        <w:footnoteReference w:id="48"/>
      </w:r>
    </w:p>
    <w:p w14:paraId="5FA4F88E"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ab/>
        <w:t xml:space="preserve">With this in mind, Dr Koven’s interesting choice to invoke drag in his description of such a pattern raises some interesting questions. Namely, I am encouraged to consider gender theorist Judith Butler’s work in her seminal monograph, </w:t>
      </w:r>
      <w:r w:rsidRPr="00872318">
        <w:rPr>
          <w:rFonts w:ascii="Times New Roman" w:hAnsi="Times New Roman" w:cs="Times New Roman"/>
          <w:i/>
          <w:iCs/>
          <w:sz w:val="24"/>
          <w:szCs w:val="24"/>
        </w:rPr>
        <w:t>Gender Trouble: Feminism and the Subversion of Identity</w:t>
      </w:r>
      <w:r w:rsidRPr="00872318">
        <w:rPr>
          <w:rFonts w:ascii="Times New Roman" w:hAnsi="Times New Roman" w:cs="Times New Roman"/>
          <w:sz w:val="24"/>
          <w:szCs w:val="24"/>
        </w:rPr>
        <w:t>. In her sub-chapters ‘Bodily Inscriptions, Performative Subversions’ and ‘From Interiority to Gender Performatives’, Butler suggests that gender is constructed of three key elements: anatomical sex, gender identity, and gender performance, which she crucially chooses not to impose hierarchy on. None is more ‘real’ or instrumental in constructing gender than any of the others, and the three endlessly contradict and destabilise one another. The effect of drag and other means of impersonation is that attention is drawn to the contradictions inherent in gender and sexual identity, underscoring Butler’s point that gender ‘has no ontological status apart from the various acts that constitute its reality’.</w:t>
      </w:r>
      <w:r w:rsidRPr="00872318">
        <w:rPr>
          <w:rStyle w:val="FootnoteReference"/>
          <w:rFonts w:cs="Times New Roman"/>
          <w:sz w:val="24"/>
          <w:szCs w:val="24"/>
        </w:rPr>
        <w:footnoteReference w:id="49"/>
      </w:r>
      <w:r w:rsidRPr="00872318">
        <w:rPr>
          <w:rFonts w:ascii="Times New Roman" w:hAnsi="Times New Roman" w:cs="Times New Roman"/>
          <w:sz w:val="24"/>
          <w:szCs w:val="24"/>
        </w:rPr>
        <w:t xml:space="preserve"> Drag reveals the artifice of the construct and revels in it, denaturalising stereotypical heteropatriarchal gender ideals and mocking both the imitative, or the expressive model of gender, through parody and</w:t>
      </w:r>
      <w:r w:rsidRPr="00872318">
        <w:rPr>
          <w:rFonts w:ascii="Times New Roman" w:hAnsi="Times New Roman" w:cs="Times New Roman"/>
          <w:i/>
          <w:iCs/>
          <w:sz w:val="24"/>
          <w:szCs w:val="24"/>
        </w:rPr>
        <w:t xml:space="preserve"> </w:t>
      </w:r>
      <w:r w:rsidRPr="00872318">
        <w:rPr>
          <w:rFonts w:ascii="Times New Roman" w:hAnsi="Times New Roman" w:cs="Times New Roman"/>
          <w:sz w:val="24"/>
          <w:szCs w:val="24"/>
        </w:rPr>
        <w:t xml:space="preserve">the idea of an ‘original’, a notion of any true gender identity, through pastiche. I would argue that Butler’s ideas about drag can be applied to religious identity as well. In the case of Judaism, anatomical sex is substituted for ethnic Judaism, gender identity for religious affiliation, and gender performance for the cultural performance of religion. As Lenny Bruce so deftly suggested in his aforementioned Jewish/goyish spiel, the connections between religion and religious performance are complex and often contradictory, with the potential for contrast between the interior and the exterior being endless. Jewishness is no more static as an identity than gender. In addition to this, Henry </w:t>
      </w:r>
      <w:r w:rsidRPr="00872318">
        <w:rPr>
          <w:rFonts w:ascii="Times New Roman" w:hAnsi="Times New Roman" w:cs="Times New Roman"/>
          <w:sz w:val="24"/>
          <w:szCs w:val="24"/>
        </w:rPr>
        <w:lastRenderedPageBreak/>
        <w:t xml:space="preserve">Bial’s ideas of ‘acting Jewish’ suggest that Jewishness and Judaism are in themselves performed identities, and that Jewishness is often hidden in plain sight in media (using the Jewishness of </w:t>
      </w:r>
      <w:r w:rsidRPr="00872318">
        <w:rPr>
          <w:rFonts w:ascii="Times New Roman" w:hAnsi="Times New Roman" w:cs="Times New Roman"/>
          <w:i/>
          <w:iCs/>
          <w:sz w:val="24"/>
          <w:szCs w:val="24"/>
        </w:rPr>
        <w:t>Seinfeld</w:t>
      </w:r>
      <w:r w:rsidRPr="00872318">
        <w:rPr>
          <w:rFonts w:ascii="Times New Roman" w:hAnsi="Times New Roman" w:cs="Times New Roman"/>
          <w:sz w:val="24"/>
          <w:szCs w:val="24"/>
        </w:rPr>
        <w:t xml:space="preserve"> as his key example). A perfect form for this hiding in plain sight is to adopt the imagery of another religion or cultural group, but to apply new sets of values, themes, and meanings to this imagery. However, drag has never been limited only to gender. The 1990 documentary </w:t>
      </w:r>
      <w:r w:rsidRPr="00872318">
        <w:rPr>
          <w:rFonts w:ascii="Times New Roman" w:hAnsi="Times New Roman" w:cs="Times New Roman"/>
          <w:i/>
          <w:iCs/>
          <w:sz w:val="24"/>
          <w:szCs w:val="24"/>
        </w:rPr>
        <w:t>Paris Is Burning</w:t>
      </w:r>
      <w:r w:rsidRPr="00872318">
        <w:rPr>
          <w:rFonts w:ascii="Times New Roman" w:hAnsi="Times New Roman" w:cs="Times New Roman"/>
          <w:sz w:val="24"/>
          <w:szCs w:val="24"/>
        </w:rPr>
        <w:t xml:space="preserve"> emphasises the subversive elements of drag within multiple cross-sections of society, particularly within race and class. Ideas of opulence and adopting the aesthetics of the upper class from the New York City drag subculture have provided venues to interrogate power relations between the imitator and the imitated.</w:t>
      </w:r>
      <w:r w:rsidRPr="00872318">
        <w:rPr>
          <w:rStyle w:val="FootnoteReference"/>
          <w:rFonts w:cs="Times New Roman"/>
          <w:sz w:val="24"/>
          <w:szCs w:val="24"/>
        </w:rPr>
        <w:footnoteReference w:id="50"/>
      </w:r>
      <w:r w:rsidRPr="00872318">
        <w:rPr>
          <w:rFonts w:ascii="Times New Roman" w:hAnsi="Times New Roman" w:cs="Times New Roman"/>
          <w:sz w:val="24"/>
          <w:szCs w:val="24"/>
        </w:rPr>
        <w:t xml:space="preserve"> Drag can be seen as a subversive act with the potential to envision radical new ideas about gender, and if we apply theories of drag to religion, I believe theories of drag can facilitate discussion of the dialectical tensions between Christianity and Judaism.</w:t>
      </w:r>
    </w:p>
    <w:p w14:paraId="56E03AFF" w14:textId="77777777" w:rsidR="0009680C" w:rsidRPr="00872318" w:rsidRDefault="0009680C" w:rsidP="0009680C">
      <w:pPr>
        <w:autoSpaceDE w:val="0"/>
        <w:autoSpaceDN w:val="0"/>
        <w:adjustRightInd w:val="0"/>
        <w:spacing w:line="480" w:lineRule="auto"/>
        <w:rPr>
          <w:rFonts w:ascii="Times New Roman" w:hAnsi="Times New Roman" w:cs="Times New Roman"/>
          <w:sz w:val="24"/>
          <w:szCs w:val="24"/>
        </w:rPr>
      </w:pPr>
      <w:r w:rsidRPr="00872318">
        <w:rPr>
          <w:rFonts w:ascii="Times New Roman" w:hAnsi="Times New Roman" w:cs="Times New Roman"/>
          <w:sz w:val="24"/>
          <w:szCs w:val="24"/>
        </w:rPr>
        <w:tab/>
        <w:t xml:space="preserve">In light of Butler’s analyses of the construction of gender through performance and parody/pastiche, I would like to suggest a counterpoint to Dr Koven’s notion of ‘Jewish drag’: Catholic drag. This term is intended to invite the questions such as what does it mean for a Jewish writer to use Catholic iconography? Is this an empowering, satirical mode? Or is it merely another demonstration of Jewishness and Judaism being side-lined in the horror genre, even by Jewish writers and directors? I will be the first to concede that there are not many immediate examples that spring to mind – this sub-genre is even narrower than the ‘Jewish horror’ sub-genre I hope to aid in establishing – but examples such as Ari Aster’s </w:t>
      </w:r>
      <w:r w:rsidRPr="00872318">
        <w:rPr>
          <w:rFonts w:ascii="Times New Roman" w:hAnsi="Times New Roman" w:cs="Times New Roman"/>
          <w:i/>
          <w:iCs/>
          <w:sz w:val="24"/>
          <w:szCs w:val="24"/>
        </w:rPr>
        <w:t>Hereditary</w:t>
      </w:r>
      <w:r w:rsidRPr="00872318">
        <w:rPr>
          <w:rFonts w:ascii="Times New Roman" w:hAnsi="Times New Roman" w:cs="Times New Roman"/>
          <w:sz w:val="24"/>
          <w:szCs w:val="24"/>
        </w:rPr>
        <w:t xml:space="preserve"> (2018), Ira Levin’s novel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(1967) and Roman Polanski’s subsequent film adaptation (1968), and the work of the Austrian director Michael Haneke suggest that there is certainly some evidence of a pattern. Catholic drag, in my understanding, has three key uses or functions. The first, satire, targets Christianity directly. With an </w:t>
      </w:r>
      <w:r w:rsidRPr="00872318">
        <w:rPr>
          <w:rFonts w:ascii="Times New Roman" w:hAnsi="Times New Roman" w:cs="Times New Roman"/>
          <w:sz w:val="24"/>
          <w:szCs w:val="24"/>
        </w:rPr>
        <w:lastRenderedPageBreak/>
        <w:t xml:space="preserve">abundance of self-serious, melodramatic rituals and fire-and-brimstone preaching rhetoric, the Catholic church is ripe for parody and mocking. In addition to this, the far darker elements of the Catholic church, such as historic sex abuse scandals, and the individual bigotry found in many sects of Christianity, such as the Westboro Baptist Church, provide ample targets for satirists (non-Jewish horror films such as Kevin Smith’s </w:t>
      </w:r>
      <w:r w:rsidRPr="00872318">
        <w:rPr>
          <w:rFonts w:ascii="Times New Roman" w:hAnsi="Times New Roman" w:cs="Times New Roman"/>
          <w:i/>
          <w:iCs/>
          <w:sz w:val="24"/>
          <w:szCs w:val="24"/>
        </w:rPr>
        <w:t>Red State</w:t>
      </w:r>
      <w:r w:rsidRPr="00872318">
        <w:rPr>
          <w:rFonts w:ascii="Times New Roman" w:hAnsi="Times New Roman" w:cs="Times New Roman"/>
          <w:sz w:val="24"/>
          <w:szCs w:val="24"/>
        </w:rPr>
        <w:t xml:space="preserve"> (2011) provide incisive critique of the latter). The second form of Catholic drag aims to de-centre Christianity in the horror genre and interrogate the role of Jews in horror. In much the same way as I am trying to do with this research, here Catholic drag is used as a Trojan horse of sorts, facilitating explorations of other religious and cultural groups in the horror genre. For example, one of the films Dr Koven cites, </w:t>
      </w:r>
      <w:r w:rsidRPr="00872318">
        <w:rPr>
          <w:rFonts w:ascii="Times New Roman" w:hAnsi="Times New Roman" w:cs="Times New Roman"/>
          <w:i/>
          <w:iCs/>
          <w:sz w:val="24"/>
          <w:szCs w:val="24"/>
        </w:rPr>
        <w:t>The Exorcist III: Legion</w:t>
      </w:r>
      <w:r w:rsidRPr="00872318">
        <w:rPr>
          <w:rFonts w:ascii="Times New Roman" w:hAnsi="Times New Roman" w:cs="Times New Roman"/>
          <w:sz w:val="24"/>
          <w:szCs w:val="24"/>
        </w:rPr>
        <w:t>, uses Catholic iconography and submits to a Catholic cosmology, but explores the roles of Judaism and agnosticism within such narratives.</w:t>
      </w:r>
      <w:r w:rsidRPr="00872318">
        <w:rPr>
          <w:rStyle w:val="FootnoteReference"/>
          <w:rFonts w:cs="Times New Roman"/>
          <w:sz w:val="24"/>
          <w:szCs w:val="24"/>
        </w:rPr>
        <w:footnoteReference w:id="51"/>
      </w:r>
      <w:r w:rsidRPr="00872318">
        <w:rPr>
          <w:rFonts w:ascii="Times New Roman" w:hAnsi="Times New Roman" w:cs="Times New Roman"/>
          <w:sz w:val="24"/>
          <w:szCs w:val="24"/>
        </w:rPr>
        <w:t xml:space="preserve"> This subversion or expansion of Christian narratives to include other perspectives aids in both deconstructing Christianity and in providing space for alternative religious narratives. The third way asks what Christians are afraid of from a different perspective. Ultimately, Catholic drag serves to denaturalise the hegemonic Christianity that we see in horror by way of poking fun at it, using it as a device to discuss the roles of other religious and cultural groups in the horror genre (for example, one might find a valuable space to explore queer themes through Catholic drag), or interrogating what objects or sources of fear are dominant in a Christian worldview, who Christians are afraid of, and why they are so afraid in the first place. Catholic drag is a narrative device that enables Christianity and Judaism to be in conversation with each other in the horror genre, in ways that destabilise the hegemony of the former and explore the potential of the latter.</w:t>
      </w:r>
    </w:p>
    <w:p w14:paraId="7344398D" w14:textId="77777777" w:rsidR="0009680C" w:rsidRPr="00872318" w:rsidRDefault="0009680C" w:rsidP="0009680C">
      <w:pPr>
        <w:pStyle w:val="Heading2"/>
        <w:spacing w:line="480" w:lineRule="auto"/>
        <w:rPr>
          <w:rFonts w:ascii="Times New Roman" w:hAnsi="Times New Roman" w:cs="Times New Roman"/>
          <w:sz w:val="24"/>
          <w:szCs w:val="24"/>
        </w:rPr>
      </w:pPr>
      <w:bookmarkStart w:id="13" w:name="_Toc51249402"/>
      <w:r w:rsidRPr="00872318">
        <w:rPr>
          <w:rFonts w:ascii="Times New Roman" w:hAnsi="Times New Roman" w:cs="Times New Roman"/>
          <w:sz w:val="24"/>
          <w:szCs w:val="24"/>
        </w:rPr>
        <w:lastRenderedPageBreak/>
        <w:t>Rosemary’s Baby: A Case Study</w:t>
      </w:r>
      <w:bookmarkEnd w:id="13"/>
    </w:p>
    <w:p w14:paraId="1B60CC2A"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Best known for his incisive satirical thrillers, Ira Levin was an atheist Jew who wrote one of the most famous works of religious horror of all time: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w:t>
      </w:r>
      <w:r w:rsidRPr="00872318">
        <w:rPr>
          <w:rStyle w:val="FootnoteReference"/>
          <w:rFonts w:cs="Times New Roman"/>
          <w:sz w:val="24"/>
          <w:szCs w:val="24"/>
        </w:rPr>
        <w:footnoteReference w:id="52"/>
      </w:r>
      <w:r w:rsidRPr="00872318">
        <w:rPr>
          <w:rFonts w:ascii="Times New Roman" w:hAnsi="Times New Roman" w:cs="Times New Roman"/>
          <w:sz w:val="24"/>
          <w:szCs w:val="24"/>
        </w:rPr>
        <w:t xml:space="preserve"> The novel, quickly adapted into an award-winning film by Roman Polanski, follows Rosemary and Guy Woodhouse, a young couple who move into the Bramford, a stylish New York apartment building with a dark history. When Rosemary falls pregnant under non-consensual circumstances, her overly involved neighbours become increasingly suspicious, pushing her into paranoia for herself and her unborn child. Eventually, Levin reveals that Rosemary was right – her neighbours are in fact Satanists, conspiring against her with her husband to steal her son, who is the child of Satan, and raise him as the Antichrist. Of the three key uses of Catholic drag that I have outlined, Levin might be seen as fitting most easily into the satirical mode, with much of his body of work, particularly </w:t>
      </w:r>
      <w:r w:rsidRPr="00872318">
        <w:rPr>
          <w:rFonts w:ascii="Times New Roman" w:hAnsi="Times New Roman" w:cs="Times New Roman"/>
          <w:i/>
          <w:iCs/>
          <w:sz w:val="24"/>
          <w:szCs w:val="24"/>
        </w:rPr>
        <w:t>The Stepford Wives</w:t>
      </w:r>
      <w:r w:rsidRPr="00872318">
        <w:rPr>
          <w:rFonts w:ascii="Times New Roman" w:hAnsi="Times New Roman" w:cs="Times New Roman"/>
          <w:sz w:val="24"/>
          <w:szCs w:val="24"/>
        </w:rPr>
        <w:t xml:space="preserve"> and </w:t>
      </w:r>
      <w:r w:rsidRPr="00872318">
        <w:rPr>
          <w:rFonts w:ascii="Times New Roman" w:hAnsi="Times New Roman" w:cs="Times New Roman"/>
          <w:i/>
          <w:iCs/>
          <w:sz w:val="24"/>
          <w:szCs w:val="24"/>
        </w:rPr>
        <w:t>The Boys from Brazil</w:t>
      </w:r>
      <w:r w:rsidRPr="00872318">
        <w:rPr>
          <w:rFonts w:ascii="Times New Roman" w:hAnsi="Times New Roman" w:cs="Times New Roman"/>
          <w:sz w:val="24"/>
          <w:szCs w:val="24"/>
        </w:rPr>
        <w:t xml:space="preserve"> being known for their satirical undertones. However, I would make the case that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is perhaps the key example of Catholic drag, encompassing all three tenets of the concept, and can aid in defining the bounds of Jewish horror as one of the most widely popular and critically acclaimed examples of the sub-genre of all time.</w:t>
      </w:r>
    </w:p>
    <w:p w14:paraId="6B851722"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Much like others in Levin’s body of work,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is heavily satirical. Focusing its critique largely on religion and the young social climbers of New York, the element of specifically ‘Catholic drag’ satire in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is mostly found in the various ways Levin chooses to skirt around or directly interact with Judaism. While there are occasional sly jabs made at the pageantry and pomposity of religion in the dialogue of Levin’s Satanists (‘‘The costumes, the rituals,’ Mr Castevet said ‘every religion, not only Catholicism. Pageants for the ignorant’’), this comes across less as satire and more as an </w:t>
      </w:r>
      <w:r w:rsidRPr="00872318">
        <w:rPr>
          <w:rFonts w:ascii="Times New Roman" w:hAnsi="Times New Roman" w:cs="Times New Roman"/>
          <w:sz w:val="24"/>
          <w:szCs w:val="24"/>
        </w:rPr>
        <w:lastRenderedPageBreak/>
        <w:t xml:space="preserve">affirmation of a crucial notion in both Catholic drag and the hegemonic Christianity of the horror genre in general: Catholicism as an </w:t>
      </w:r>
      <w:r w:rsidRPr="00872318">
        <w:rPr>
          <w:rFonts w:ascii="Times New Roman" w:hAnsi="Times New Roman" w:cs="Times New Roman"/>
          <w:i/>
          <w:iCs/>
          <w:sz w:val="24"/>
          <w:szCs w:val="24"/>
        </w:rPr>
        <w:t>aesthetic</w:t>
      </w:r>
      <w:r w:rsidRPr="00872318">
        <w:rPr>
          <w:rFonts w:ascii="Times New Roman" w:hAnsi="Times New Roman" w:cs="Times New Roman"/>
          <w:sz w:val="24"/>
          <w:szCs w:val="24"/>
        </w:rPr>
        <w:t xml:space="preserve"> of horror.</w:t>
      </w:r>
      <w:r w:rsidRPr="00872318">
        <w:rPr>
          <w:rStyle w:val="FootnoteReference"/>
          <w:rFonts w:cs="Times New Roman"/>
          <w:sz w:val="24"/>
          <w:szCs w:val="24"/>
        </w:rPr>
        <w:footnoteReference w:id="53"/>
      </w:r>
      <w:r w:rsidRPr="00872318">
        <w:rPr>
          <w:rFonts w:ascii="Times New Roman" w:hAnsi="Times New Roman" w:cs="Times New Roman"/>
          <w:sz w:val="24"/>
          <w:szCs w:val="24"/>
        </w:rPr>
        <w:t xml:space="preserve"> While I would argue that the prevalence of Christianity in horror is not limited to aesthetics, with the values of Christianity being enforced across the genre, in horror texts of the last 50 years, there has been an increasing scepticism towards religion in general. As author Chuck Palahniuk writes in his foreword to the 2011 edition of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‘…people were living in the modern era, freed from the silly cautions of the past. Religion didn’t count. Religion was a joke, a relic, an embarrassment. Science had trumped God’.</w:t>
      </w:r>
      <w:r w:rsidRPr="00872318">
        <w:rPr>
          <w:rStyle w:val="FootnoteReference"/>
          <w:rFonts w:cs="Times New Roman"/>
          <w:sz w:val="24"/>
          <w:szCs w:val="24"/>
        </w:rPr>
        <w:footnoteReference w:id="54"/>
      </w:r>
      <w:r w:rsidRPr="00872318">
        <w:rPr>
          <w:rFonts w:ascii="Times New Roman" w:hAnsi="Times New Roman" w:cs="Times New Roman"/>
          <w:sz w:val="24"/>
          <w:szCs w:val="24"/>
        </w:rPr>
        <w:t xml:space="preserve"> And yet, in spite of the apparent disdain for religion throughout the text, Levin’s characters live their lives in its shadow. Rosemary is chided by her family for committing the worst of all sins (marrying a Protestant), Levin’s depiction of Minnie Castevet has all the coding of a stereotypical Jewish mother in her fawning over Guy and her presence in Rosemary’s life and pregnancy, and Rosemary’s entire opinion on Dr Abe Sapirstein seems to be formulated from the fact that he is Jewish. Religion is deeply embedded in the minds of all the characters of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but crucially, Levin creates satire from the confusion between Jews and Satanists.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uses its Catholic drag to provide a Jewish satire of anti-Semitic rhetoric in modern America, with Rosemary’s suspicions of a plot to steal her baby for satanic rituals bearing such a resemblance to anti-Semitic accusations of blood libel that one doubts it is coincidental. It is also no coincidence that the neighbours she becomes suspicious of, Minnie and Roman Castevet, are coded as Jewish. In Minnie’s case this manifests as previously mentioned, as a stereotypical Jewish mother depiction: Minnie is immediately possessive over Rosemary’s pregnancy, insisting she switch to a new obstetrician (‘‘Abe Sapirstein. A Jewish man. He delivers all the Society babies and he would deliver yours too if we asked him. And he’d do it </w:t>
      </w:r>
      <w:r w:rsidRPr="00872318">
        <w:rPr>
          <w:rFonts w:ascii="Times New Roman" w:hAnsi="Times New Roman" w:cs="Times New Roman"/>
          <w:i/>
          <w:iCs/>
          <w:sz w:val="24"/>
          <w:szCs w:val="24"/>
        </w:rPr>
        <w:lastRenderedPageBreak/>
        <w:t>cheap</w:t>
      </w:r>
      <w:r w:rsidRPr="00872318">
        <w:rPr>
          <w:rFonts w:ascii="Times New Roman" w:hAnsi="Times New Roman" w:cs="Times New Roman"/>
          <w:sz w:val="24"/>
          <w:szCs w:val="24"/>
        </w:rPr>
        <w:t>, so you’d be saving Guy some of his hard-earned money’’)</w:t>
      </w:r>
      <w:r w:rsidRPr="00872318">
        <w:rPr>
          <w:rStyle w:val="FootnoteReference"/>
          <w:rFonts w:cs="Times New Roman"/>
          <w:sz w:val="24"/>
          <w:szCs w:val="24"/>
        </w:rPr>
        <w:footnoteReference w:id="55"/>
      </w:r>
      <w:r w:rsidRPr="00872318">
        <w:rPr>
          <w:rFonts w:ascii="Times New Roman" w:hAnsi="Times New Roman" w:cs="Times New Roman"/>
          <w:sz w:val="24"/>
          <w:szCs w:val="24"/>
        </w:rPr>
        <w:t xml:space="preserve"> and obsessing over her health and fertility (‘Minnie brought the drink every day…and stood waiting while Rosemary drained it’).</w:t>
      </w:r>
      <w:r w:rsidRPr="00872318">
        <w:rPr>
          <w:rStyle w:val="FootnoteReference"/>
          <w:rFonts w:cs="Times New Roman"/>
          <w:sz w:val="24"/>
          <w:szCs w:val="24"/>
        </w:rPr>
        <w:footnoteReference w:id="56"/>
      </w:r>
      <w:r w:rsidRPr="00872318">
        <w:rPr>
          <w:rFonts w:ascii="Times New Roman" w:hAnsi="Times New Roman" w:cs="Times New Roman"/>
          <w:sz w:val="24"/>
          <w:szCs w:val="24"/>
        </w:rPr>
        <w:t xml:space="preserve"> In Roman’s case, Levin leans into the more subtle ‘rootless cosmopolitan’ stereotype in his depiction of Roman as an international traveller (‘‘I’m from right here in New York City. I’ve been there though. I’ve been everywhere. Literally… Every continent, every country. Every major city. You name a place and I’ve been there’’).</w:t>
      </w:r>
      <w:r w:rsidRPr="00872318">
        <w:rPr>
          <w:rStyle w:val="FootnoteReference"/>
          <w:rFonts w:cs="Times New Roman"/>
          <w:sz w:val="24"/>
          <w:szCs w:val="24"/>
        </w:rPr>
        <w:footnoteReference w:id="57"/>
      </w:r>
      <w:r w:rsidRPr="00872318">
        <w:rPr>
          <w:rFonts w:ascii="Times New Roman" w:hAnsi="Times New Roman" w:cs="Times New Roman"/>
          <w:sz w:val="24"/>
          <w:szCs w:val="24"/>
        </w:rPr>
        <w:t xml:space="preserve"> In both cases, Levin has the characters make unprompted remarks about money (Minnie enquires ‘‘What did you pay for a chair like that?... You don’t mind my asking, do you?... That’s how I got a big nose, by being nosy’’, making Rosemary ‘disconcerted’,</w:t>
      </w:r>
      <w:r w:rsidRPr="00872318">
        <w:rPr>
          <w:rStyle w:val="FootnoteReference"/>
          <w:rFonts w:cs="Times New Roman"/>
          <w:sz w:val="24"/>
          <w:szCs w:val="24"/>
        </w:rPr>
        <w:footnoteReference w:id="58"/>
      </w:r>
      <w:r w:rsidRPr="00872318">
        <w:rPr>
          <w:rFonts w:ascii="Times New Roman" w:hAnsi="Times New Roman" w:cs="Times New Roman"/>
          <w:sz w:val="24"/>
          <w:szCs w:val="24"/>
        </w:rPr>
        <w:t xml:space="preserve"> and Roman talks unprompted about how ‘not at all expensive’ their wine is)</w:t>
      </w:r>
      <w:r w:rsidRPr="00872318">
        <w:rPr>
          <w:rStyle w:val="FootnoteReference"/>
          <w:rFonts w:cs="Times New Roman"/>
          <w:sz w:val="24"/>
          <w:szCs w:val="24"/>
        </w:rPr>
        <w:footnoteReference w:id="59"/>
      </w:r>
      <w:r w:rsidRPr="00872318">
        <w:rPr>
          <w:rFonts w:ascii="Times New Roman" w:hAnsi="Times New Roman" w:cs="Times New Roman"/>
          <w:sz w:val="24"/>
          <w:szCs w:val="24"/>
        </w:rPr>
        <w:t>, which may be a nod to anti-Semitic rhetoric surrounding Jews and money. Rosemary balks at some of her neighbours’ behaviour but never quite confirms what exactly it is that elicits such a reaction, which could be interpreted as Levin satirising polite Gentile society that has an irrational fear and suspicion of Jews, but often will not name it as such. When confronted by Guy, Rosemary dismisses the involvement of her obstetrician, Dr Sapirstein, in the conspiracy by saying ‘He’s – too intelligent’, to which Guy responds ‘And besides, he’s Jewish’.</w:t>
      </w:r>
      <w:r w:rsidRPr="00872318">
        <w:rPr>
          <w:rStyle w:val="FootnoteReference"/>
          <w:rFonts w:cs="Times New Roman"/>
          <w:sz w:val="24"/>
          <w:szCs w:val="24"/>
        </w:rPr>
        <w:footnoteReference w:id="60"/>
      </w:r>
      <w:r w:rsidRPr="00872318">
        <w:rPr>
          <w:rFonts w:ascii="Times New Roman" w:hAnsi="Times New Roman" w:cs="Times New Roman"/>
          <w:sz w:val="24"/>
          <w:szCs w:val="24"/>
        </w:rPr>
        <w:t xml:space="preserve"> The confusion reaches a peak towards the end of the novel in a tense, but somewhat humorous, exchange between Rosemary and Guy in which she raves about how the witches are probably conducting ‘</w:t>
      </w:r>
      <w:r w:rsidRPr="00872318">
        <w:rPr>
          <w:rFonts w:ascii="Times New Roman" w:hAnsi="Times New Roman" w:cs="Times New Roman"/>
          <w:i/>
          <w:iCs/>
          <w:sz w:val="24"/>
          <w:szCs w:val="24"/>
        </w:rPr>
        <w:t>Sabbaths</w:t>
      </w:r>
      <w:r w:rsidRPr="00872318">
        <w:rPr>
          <w:rFonts w:ascii="Times New Roman" w:hAnsi="Times New Roman" w:cs="Times New Roman"/>
          <w:sz w:val="24"/>
          <w:szCs w:val="24"/>
        </w:rPr>
        <w:t xml:space="preserve"> or </w:t>
      </w:r>
      <w:r w:rsidRPr="00872318">
        <w:rPr>
          <w:rFonts w:ascii="Times New Roman" w:hAnsi="Times New Roman" w:cs="Times New Roman"/>
          <w:i/>
          <w:iCs/>
          <w:sz w:val="24"/>
          <w:szCs w:val="24"/>
        </w:rPr>
        <w:t>esbats</w:t>
      </w:r>
      <w:r w:rsidRPr="00872318">
        <w:rPr>
          <w:rFonts w:ascii="Times New Roman" w:hAnsi="Times New Roman" w:cs="Times New Roman"/>
          <w:sz w:val="24"/>
          <w:szCs w:val="24"/>
        </w:rPr>
        <w:t>’.</w:t>
      </w:r>
      <w:r w:rsidRPr="00872318">
        <w:rPr>
          <w:rStyle w:val="FootnoteReference"/>
          <w:rFonts w:cs="Times New Roman"/>
          <w:sz w:val="24"/>
          <w:szCs w:val="24"/>
        </w:rPr>
        <w:footnoteReference w:id="61"/>
      </w:r>
      <w:r w:rsidRPr="00872318">
        <w:rPr>
          <w:rFonts w:ascii="Times New Roman" w:hAnsi="Times New Roman" w:cs="Times New Roman"/>
          <w:sz w:val="24"/>
          <w:szCs w:val="24"/>
        </w:rPr>
        <w:t xml:space="preserve"> Esbats are a ritual exclusively associated with witchcraft, but Sabbath has the double meaning of being both a witchcraft ritual and a Jewish tradition. Levin openly associates Rosemary’s fear with both witches </w:t>
      </w:r>
      <w:r w:rsidRPr="00872318">
        <w:rPr>
          <w:rFonts w:ascii="Times New Roman" w:hAnsi="Times New Roman" w:cs="Times New Roman"/>
          <w:i/>
          <w:iCs/>
          <w:sz w:val="24"/>
          <w:szCs w:val="24"/>
        </w:rPr>
        <w:t xml:space="preserve">and </w:t>
      </w:r>
      <w:r w:rsidRPr="00872318">
        <w:rPr>
          <w:rFonts w:ascii="Times New Roman" w:hAnsi="Times New Roman" w:cs="Times New Roman"/>
          <w:sz w:val="24"/>
          <w:szCs w:val="24"/>
        </w:rPr>
        <w:t xml:space="preserve">Jews, with only one of those fears being </w:t>
      </w:r>
      <w:r w:rsidRPr="00872318">
        <w:rPr>
          <w:rFonts w:ascii="Times New Roman" w:hAnsi="Times New Roman" w:cs="Times New Roman"/>
          <w:sz w:val="24"/>
          <w:szCs w:val="24"/>
        </w:rPr>
        <w:lastRenderedPageBreak/>
        <w:t>accurate. The satire of Rosemary’s Baby serves to underscore a general mocking of the pageantry of Catholicism as well as the inability of Christianity to actually see what evil is in front of them. Rosemary seemingly rejects the Castevets (primarily Minnie) as a result of the culturally Jewish traits they exhibit but fails to see their actual witchcraft for what it is until it is too late. In addition to this, the ritual of the Satanists has far more in common with Catholicism than with Judaism, and so Rosemary eventually becomes amenable to Satanism, implying that perhaps Catholicism is not such a force for good as Rosemary might imagine.</w:t>
      </w:r>
    </w:p>
    <w:p w14:paraId="6BD5762D"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Levin also uses his Catholic drag to facilitate explorations of specific themes of Jewish horror, including the role of the body and the experience of being othered. The first of these themes we have already established in my chapter on The Metamorphosis: the unique way in which Jewish horror figures the body. Jewish horror focuses on the body as a site of suffering, but not of spectacle. In Christian horror, the body imperilled by the devil is often that of a young girl or woman, often virginal, with the various connotations of vulnerability, femininity, and purity, creating a victim that Christian audiences would sympathise with. While Rosemary does fit this archetype, Levin depicts her pain differently. Many films oriented around Christian beliefs depict the suffering of victims in relation to the witnesses of that suffering, often family members or priests (e.g. </w:t>
      </w:r>
      <w:r w:rsidRPr="00872318">
        <w:rPr>
          <w:rFonts w:ascii="Times New Roman" w:hAnsi="Times New Roman" w:cs="Times New Roman"/>
          <w:i/>
          <w:iCs/>
          <w:sz w:val="24"/>
          <w:szCs w:val="24"/>
        </w:rPr>
        <w:t>The Exorcist</w:t>
      </w:r>
      <w:r w:rsidRPr="00872318">
        <w:rPr>
          <w:rFonts w:ascii="Times New Roman" w:hAnsi="Times New Roman" w:cs="Times New Roman"/>
          <w:sz w:val="24"/>
          <w:szCs w:val="24"/>
        </w:rPr>
        <w:t xml:space="preserve"> (1973), </w:t>
      </w:r>
      <w:r w:rsidRPr="00872318">
        <w:rPr>
          <w:rFonts w:ascii="Times New Roman" w:hAnsi="Times New Roman" w:cs="Times New Roman"/>
          <w:i/>
          <w:iCs/>
          <w:sz w:val="24"/>
          <w:szCs w:val="24"/>
        </w:rPr>
        <w:t>The Exorcism of Emily Rose</w:t>
      </w:r>
      <w:r w:rsidRPr="00872318">
        <w:rPr>
          <w:rFonts w:ascii="Times New Roman" w:hAnsi="Times New Roman" w:cs="Times New Roman"/>
          <w:sz w:val="24"/>
          <w:szCs w:val="24"/>
        </w:rPr>
        <w:t xml:space="preserve"> (2005), </w:t>
      </w:r>
      <w:r w:rsidRPr="00872318">
        <w:rPr>
          <w:rFonts w:ascii="Times New Roman" w:hAnsi="Times New Roman" w:cs="Times New Roman"/>
          <w:i/>
          <w:iCs/>
          <w:sz w:val="24"/>
          <w:szCs w:val="24"/>
        </w:rPr>
        <w:t>The Last Exorcism</w:t>
      </w:r>
      <w:r w:rsidRPr="00872318">
        <w:rPr>
          <w:rFonts w:ascii="Times New Roman" w:hAnsi="Times New Roman" w:cs="Times New Roman"/>
          <w:sz w:val="24"/>
          <w:szCs w:val="24"/>
        </w:rPr>
        <w:t xml:space="preserve"> (2010)). Rosemary’s suffering, on the other hand, is far more intimate. The reader is allowed to know Rosemary’s own perceptions of her pain (‘Until now it had been inside her; now </w:t>
      </w:r>
      <w:r w:rsidRPr="00872318">
        <w:rPr>
          <w:rFonts w:ascii="Times New Roman" w:hAnsi="Times New Roman" w:cs="Times New Roman"/>
          <w:i/>
          <w:iCs/>
          <w:sz w:val="24"/>
          <w:szCs w:val="24"/>
        </w:rPr>
        <w:t>she</w:t>
      </w:r>
      <w:r w:rsidRPr="00872318">
        <w:rPr>
          <w:rFonts w:ascii="Times New Roman" w:hAnsi="Times New Roman" w:cs="Times New Roman"/>
          <w:sz w:val="24"/>
          <w:szCs w:val="24"/>
        </w:rPr>
        <w:t xml:space="preserve"> was inside </w:t>
      </w:r>
      <w:r w:rsidRPr="00872318">
        <w:rPr>
          <w:rFonts w:ascii="Times New Roman" w:hAnsi="Times New Roman" w:cs="Times New Roman"/>
          <w:i/>
          <w:iCs/>
          <w:sz w:val="24"/>
          <w:szCs w:val="24"/>
        </w:rPr>
        <w:t>it</w:t>
      </w:r>
      <w:r w:rsidRPr="00872318">
        <w:rPr>
          <w:rFonts w:ascii="Times New Roman" w:hAnsi="Times New Roman" w:cs="Times New Roman"/>
          <w:sz w:val="24"/>
          <w:szCs w:val="24"/>
        </w:rPr>
        <w:t>’), being invited to empathise, rather than just to sympathise with her.</w:t>
      </w:r>
      <w:r w:rsidRPr="00872318">
        <w:rPr>
          <w:rStyle w:val="FootnoteReference"/>
          <w:rFonts w:cs="Times New Roman"/>
          <w:sz w:val="24"/>
          <w:szCs w:val="24"/>
        </w:rPr>
        <w:footnoteReference w:id="62"/>
      </w:r>
      <w:r w:rsidRPr="00872318">
        <w:rPr>
          <w:rFonts w:ascii="Times New Roman" w:hAnsi="Times New Roman" w:cs="Times New Roman"/>
          <w:sz w:val="24"/>
          <w:szCs w:val="24"/>
        </w:rPr>
        <w:t xml:space="preserve"> While other minor characters, such as Hutch and Rosemary’s female friends, also react to her pain, their perspective is not prioritised. Her suffering is more often than not delegitimised by the gaze of others, including her obstetrician </w:t>
      </w:r>
      <w:r w:rsidRPr="00872318">
        <w:rPr>
          <w:rFonts w:ascii="Times New Roman" w:hAnsi="Times New Roman" w:cs="Times New Roman"/>
          <w:sz w:val="24"/>
          <w:szCs w:val="24"/>
        </w:rPr>
        <w:lastRenderedPageBreak/>
        <w:t>who cavalierly dismisses her fear of an ectopic pregnancy.</w:t>
      </w:r>
      <w:r w:rsidRPr="00872318">
        <w:rPr>
          <w:rStyle w:val="FootnoteReference"/>
          <w:rFonts w:cs="Times New Roman"/>
          <w:sz w:val="24"/>
          <w:szCs w:val="24"/>
        </w:rPr>
        <w:footnoteReference w:id="63"/>
      </w:r>
      <w:r w:rsidRPr="00872318">
        <w:rPr>
          <w:rFonts w:ascii="Times New Roman" w:hAnsi="Times New Roman" w:cs="Times New Roman"/>
          <w:sz w:val="24"/>
          <w:szCs w:val="24"/>
        </w:rPr>
        <w:t xml:space="preserve"> Her physical pain is denied repeatedly, even in spite of her being an ideal victim within a Christian narrative, but Levin focuses on Rosemary’s interior experience of horror (much in the same way that Kafka does with Gregor Samsa, and Wrona does with Piotr). Rosemary is the central focus of the novel, elevating her above the agency that a victim might have and allowing her to transcend a narrative based simply around suffering.</w:t>
      </w:r>
    </w:p>
    <w:p w14:paraId="77237BE1"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Secondly, Levin explores the experience of being othered. Rosemary’s Catholicism is repeatedly mentioned as a source of mild conflict amongst herself, her friends, and her family. Her family are displeased that she marries a Protestant, while her social circles see her Catholicism as out-of-touch and unsophisticated. Levin positions Catholicism as the other, embracing the pastiche of drag in pointing out that Christianity has no place as the default in 20</w:t>
      </w:r>
      <w:r w:rsidRPr="00872318">
        <w:rPr>
          <w:rFonts w:ascii="Times New Roman" w:hAnsi="Times New Roman" w:cs="Times New Roman"/>
          <w:sz w:val="24"/>
          <w:szCs w:val="24"/>
          <w:vertAlign w:val="superscript"/>
        </w:rPr>
        <w:t>th</w:t>
      </w:r>
      <w:r w:rsidRPr="00872318">
        <w:rPr>
          <w:rFonts w:ascii="Times New Roman" w:hAnsi="Times New Roman" w:cs="Times New Roman"/>
          <w:sz w:val="24"/>
          <w:szCs w:val="24"/>
        </w:rPr>
        <w:t xml:space="preserve"> century America. Rosemary’s attachment to religion varies across the novel, with her both admitting ‘Religion doesn’t mean as much to me now as it did back home’ and drifting to images of the Pope, nuns, Catholic school, and the Kennedys (the first Catholic family in the White House) during her hallucinogenic dreams. Not only does this denaturalise hegemonic Christianity, but it also mirrors in Rosemary the experience of being othered as a result of faith, which is perhaps more reminiscent of Jewish experience than Catholic. As Palahniuk suggests in his foreword, in traditional Gothic horror, ‘…at most the enemy was a single deranged person. Now… the enemy was everyone’. The experience of being othered, of being the only sane person at the centre of a conspiracy, is not exactly typical of the genre. More often than not, there is only one crazed killer to contend with, or at least if there are hordes of monsters at the gates, characters would have allies in their struggles. By isolating Rosemary, Levin subverts the tropes of traditional Gothic horror and instead creates </w:t>
      </w:r>
      <w:r w:rsidRPr="00872318">
        <w:rPr>
          <w:rFonts w:ascii="Times New Roman" w:hAnsi="Times New Roman" w:cs="Times New Roman"/>
          <w:sz w:val="24"/>
          <w:szCs w:val="24"/>
        </w:rPr>
        <w:lastRenderedPageBreak/>
        <w:t xml:space="preserve">something that may more closely resemble Jewish experiences of social isolation in gentile communities. </w:t>
      </w:r>
    </w:p>
    <w:p w14:paraId="2754575B"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The third of my tenets, the notion of exploring Christian fears, is perhaps the most prominent of all three. In the use of Christian iconography and his many references to contemporary Christianity (such as the gentle mocking of Catholic/Protestant tensions), Levin interrogates what it is that Christians fear through his depictions of other religions. To better explore this, we must return to my earlier argument concerning Hegel’s notion of progression: Christianity is a religion deeply tied to Judaism, with Judaism acting as a parent figure. By that same logic, one could argue that Christianity has its own child: Satanism. Satanism is a religion, of sorts, that is defined almost entirely by Christianity, with even the word ‘Satan’ simply meaning ‘adversary’. Satanism could not exist without Christianity in the same way that Christianity could not exist without Judaism, and if Christianity perceives itself as a positive evolution of Judaism (as Hegel seems to), then Satanism is perhaps the next step in the process. The very idea is most likely heretical and an easy source of horror in the novel. In Rosemary’s dreams, her unconscious mind incorporates the conversations she overhears between Minnie and Roman by posing them as Catholics (‘‘I </w:t>
      </w:r>
      <w:r w:rsidRPr="00872318">
        <w:rPr>
          <w:rFonts w:ascii="Times New Roman" w:hAnsi="Times New Roman" w:cs="Times New Roman"/>
          <w:i/>
          <w:iCs/>
          <w:sz w:val="24"/>
          <w:szCs w:val="24"/>
        </w:rPr>
        <w:t>told</w:t>
      </w:r>
      <w:r w:rsidRPr="00872318">
        <w:rPr>
          <w:rFonts w:ascii="Times New Roman" w:hAnsi="Times New Roman" w:cs="Times New Roman"/>
          <w:sz w:val="24"/>
          <w:szCs w:val="24"/>
        </w:rPr>
        <w:t xml:space="preserve"> you not to tell her anything in advance,’ Sister Agnes continued lower, piggy-eyes glinting hatefully’),</w:t>
      </w:r>
      <w:r w:rsidRPr="00872318">
        <w:rPr>
          <w:rStyle w:val="FootnoteReference"/>
          <w:rFonts w:cs="Times New Roman"/>
          <w:sz w:val="24"/>
          <w:szCs w:val="24"/>
        </w:rPr>
        <w:footnoteReference w:id="64"/>
      </w:r>
      <w:r w:rsidRPr="00872318">
        <w:rPr>
          <w:rFonts w:ascii="Times New Roman" w:hAnsi="Times New Roman" w:cs="Times New Roman"/>
          <w:sz w:val="24"/>
          <w:szCs w:val="24"/>
        </w:rPr>
        <w:t xml:space="preserve"> literally placing the Satanists in Catholic drag, and Rosemary’s nightmares often involve prominent Catholic figures. Particularly important is that she dreams of the latter two during the hazy rape sequence: key figures of contemporary Catholicism are </w:t>
      </w:r>
      <w:r w:rsidRPr="00872318">
        <w:rPr>
          <w:rFonts w:ascii="Times New Roman" w:hAnsi="Times New Roman" w:cs="Times New Roman"/>
          <w:i/>
          <w:iCs/>
          <w:sz w:val="24"/>
          <w:szCs w:val="24"/>
        </w:rPr>
        <w:t>literally</w:t>
      </w:r>
      <w:r w:rsidRPr="00872318">
        <w:rPr>
          <w:rFonts w:ascii="Times New Roman" w:hAnsi="Times New Roman" w:cs="Times New Roman"/>
          <w:sz w:val="24"/>
          <w:szCs w:val="24"/>
        </w:rPr>
        <w:t xml:space="preserve"> there at the conception of the Antichrist, who is thought to be the agent of a new world order. In addition to this, the narrative likens the Satanists (or at least Rosemary’s perceptions of them) to anti-Semitic ideas of Judaism. The rituals and sacrifices Rosemary fixates on resemble historic accusations of blood libel far too closely to be coincidental (‘‘They use </w:t>
      </w:r>
      <w:r w:rsidRPr="00872318">
        <w:rPr>
          <w:rFonts w:ascii="Times New Roman" w:hAnsi="Times New Roman" w:cs="Times New Roman"/>
          <w:i/>
          <w:iCs/>
          <w:sz w:val="24"/>
          <w:szCs w:val="24"/>
        </w:rPr>
        <w:t>blood</w:t>
      </w:r>
      <w:r w:rsidRPr="00872318">
        <w:rPr>
          <w:rFonts w:ascii="Times New Roman" w:hAnsi="Times New Roman" w:cs="Times New Roman"/>
          <w:sz w:val="24"/>
          <w:szCs w:val="24"/>
        </w:rPr>
        <w:t xml:space="preserve"> in their rituals, </w:t>
      </w:r>
      <w:r w:rsidRPr="00872318">
        <w:rPr>
          <w:rFonts w:ascii="Times New Roman" w:hAnsi="Times New Roman" w:cs="Times New Roman"/>
          <w:sz w:val="24"/>
          <w:szCs w:val="24"/>
        </w:rPr>
        <w:lastRenderedPageBreak/>
        <w:t xml:space="preserve">because blood has </w:t>
      </w:r>
      <w:r w:rsidRPr="00872318">
        <w:rPr>
          <w:rFonts w:ascii="Times New Roman" w:hAnsi="Times New Roman" w:cs="Times New Roman"/>
          <w:i/>
          <w:iCs/>
          <w:sz w:val="24"/>
          <w:szCs w:val="24"/>
        </w:rPr>
        <w:t>power</w:t>
      </w:r>
      <w:r w:rsidRPr="00872318">
        <w:rPr>
          <w:rFonts w:ascii="Times New Roman" w:hAnsi="Times New Roman" w:cs="Times New Roman"/>
          <w:sz w:val="24"/>
          <w:szCs w:val="24"/>
        </w:rPr>
        <w:t xml:space="preserve">, and the blood that has the </w:t>
      </w:r>
      <w:r w:rsidRPr="00872318">
        <w:rPr>
          <w:rFonts w:ascii="Times New Roman" w:hAnsi="Times New Roman" w:cs="Times New Roman"/>
          <w:i/>
          <w:iCs/>
          <w:sz w:val="24"/>
          <w:szCs w:val="24"/>
        </w:rPr>
        <w:t>most</w:t>
      </w:r>
      <w:r w:rsidRPr="00872318">
        <w:rPr>
          <w:rFonts w:ascii="Times New Roman" w:hAnsi="Times New Roman" w:cs="Times New Roman"/>
          <w:sz w:val="24"/>
          <w:szCs w:val="24"/>
        </w:rPr>
        <w:t xml:space="preserve"> power is a </w:t>
      </w:r>
      <w:r w:rsidRPr="00872318">
        <w:rPr>
          <w:rFonts w:ascii="Times New Roman" w:hAnsi="Times New Roman" w:cs="Times New Roman"/>
          <w:i/>
          <w:iCs/>
          <w:sz w:val="24"/>
          <w:szCs w:val="24"/>
        </w:rPr>
        <w:t>baby’s</w:t>
      </w:r>
      <w:r w:rsidRPr="00872318">
        <w:rPr>
          <w:rFonts w:ascii="Times New Roman" w:hAnsi="Times New Roman" w:cs="Times New Roman"/>
          <w:sz w:val="24"/>
          <w:szCs w:val="24"/>
        </w:rPr>
        <w:t xml:space="preserve"> blood, a baby that hasn’t been baptized; and</w:t>
      </w:r>
      <w:r w:rsidRPr="00872318">
        <w:rPr>
          <w:rFonts w:ascii="Times New Roman" w:hAnsi="Times New Roman" w:cs="Times New Roman"/>
          <w:i/>
          <w:iCs/>
          <w:sz w:val="24"/>
          <w:szCs w:val="24"/>
        </w:rPr>
        <w:t xml:space="preserve"> </w:t>
      </w:r>
      <w:r w:rsidRPr="00872318">
        <w:rPr>
          <w:rFonts w:ascii="Times New Roman" w:hAnsi="Times New Roman" w:cs="Times New Roman"/>
          <w:sz w:val="24"/>
          <w:szCs w:val="24"/>
        </w:rPr>
        <w:t xml:space="preserve">they use </w:t>
      </w:r>
      <w:r w:rsidRPr="00872318">
        <w:rPr>
          <w:rFonts w:ascii="Times New Roman" w:hAnsi="Times New Roman" w:cs="Times New Roman"/>
          <w:i/>
          <w:iCs/>
          <w:sz w:val="24"/>
          <w:szCs w:val="24"/>
        </w:rPr>
        <w:t>more</w:t>
      </w:r>
      <w:r w:rsidRPr="00872318">
        <w:rPr>
          <w:rFonts w:ascii="Times New Roman" w:hAnsi="Times New Roman" w:cs="Times New Roman"/>
          <w:sz w:val="24"/>
          <w:szCs w:val="24"/>
        </w:rPr>
        <w:t xml:space="preserve"> than the blood, they use the </w:t>
      </w:r>
      <w:r w:rsidRPr="00872318">
        <w:rPr>
          <w:rFonts w:ascii="Times New Roman" w:hAnsi="Times New Roman" w:cs="Times New Roman"/>
          <w:i/>
          <w:iCs/>
          <w:sz w:val="24"/>
          <w:szCs w:val="24"/>
        </w:rPr>
        <w:t>flesh</w:t>
      </w:r>
      <w:r w:rsidRPr="00872318">
        <w:rPr>
          <w:rFonts w:ascii="Times New Roman" w:hAnsi="Times New Roman" w:cs="Times New Roman"/>
          <w:sz w:val="24"/>
          <w:szCs w:val="24"/>
        </w:rPr>
        <w:t xml:space="preserve"> too!’’),</w:t>
      </w:r>
      <w:r w:rsidRPr="00872318">
        <w:rPr>
          <w:rStyle w:val="FootnoteReference"/>
          <w:rFonts w:cs="Times New Roman"/>
          <w:sz w:val="24"/>
          <w:szCs w:val="24"/>
        </w:rPr>
        <w:footnoteReference w:id="65"/>
      </w:r>
      <w:r w:rsidRPr="00872318">
        <w:rPr>
          <w:rFonts w:ascii="Times New Roman" w:hAnsi="Times New Roman" w:cs="Times New Roman"/>
          <w:sz w:val="24"/>
          <w:szCs w:val="24"/>
        </w:rPr>
        <w:t xml:space="preserve"> and even the pungent lucky charm given to her by the Castevets is described as ‘European’, indicating old Europe as a sinister presence.</w:t>
      </w:r>
      <w:r w:rsidRPr="00872318">
        <w:rPr>
          <w:rStyle w:val="FootnoteReference"/>
          <w:rFonts w:cs="Times New Roman"/>
          <w:sz w:val="24"/>
          <w:szCs w:val="24"/>
        </w:rPr>
        <w:footnoteReference w:id="66"/>
      </w:r>
      <w:r w:rsidRPr="00872318">
        <w:rPr>
          <w:rFonts w:ascii="Times New Roman" w:hAnsi="Times New Roman" w:cs="Times New Roman"/>
          <w:sz w:val="24"/>
          <w:szCs w:val="24"/>
        </w:rPr>
        <w:t xml:space="preserve"> Chuck Palahniuk writes of how Rosemary’s Baby ‘brings horror home’ – while previous American horror narratives often focused on terror in distant lands or would have its characters move to a new home where horrors would be inflicted upon them, Levin chooses a modern, cosmopolitan city, and brings horror there. The Bramford is described as a haunted building as though the threat has departed, but the source of horror is very much still there. While American Christianity may see itself as having built a new foundation far from its Abrahamic roots, Levin reminds us of these roots and the horror with which Christians look at their ancestor. Rosemary’s horror at the Satanists emulates Christian horror at Judaism. In his use of Catholic drag here, Levin recreates the traumatic and violent transition from Judaism to Christianity by depicting Catholicism being usurped by Satanism, forcing a dark empathy between the two. The Jew a figure of horror to Rosemary, but perhaps more so is the notion of how gentiles treated the Jews one day being revisited upon Catholics.</w:t>
      </w:r>
    </w:p>
    <w:p w14:paraId="69A81832" w14:textId="77777777" w:rsidR="0009680C" w:rsidRPr="00872318" w:rsidRDefault="0009680C" w:rsidP="0009680C">
      <w:pPr>
        <w:pStyle w:val="Heading2"/>
        <w:spacing w:line="480" w:lineRule="auto"/>
        <w:rPr>
          <w:rFonts w:ascii="Times New Roman" w:hAnsi="Times New Roman" w:cs="Times New Roman"/>
          <w:sz w:val="24"/>
          <w:szCs w:val="24"/>
        </w:rPr>
      </w:pPr>
      <w:bookmarkStart w:id="14" w:name="_Toc51249403"/>
      <w:r w:rsidRPr="00872318">
        <w:rPr>
          <w:rFonts w:ascii="Times New Roman" w:hAnsi="Times New Roman" w:cs="Times New Roman"/>
          <w:sz w:val="24"/>
          <w:szCs w:val="24"/>
        </w:rPr>
        <w:t>Alternate Examples &amp; Complications</w:t>
      </w:r>
      <w:bookmarkEnd w:id="14"/>
    </w:p>
    <w:p w14:paraId="70B523B5"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tab/>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is of course a liminal case, and therefore the idea of Catholic should not be entirely based on one novel. What follows are a few brief analyses of other works that adopt Catholic drag, with differing results. </w:t>
      </w:r>
    </w:p>
    <w:p w14:paraId="7027C605"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Ari Aster’s 2018 film </w:t>
      </w:r>
      <w:r w:rsidRPr="00872318">
        <w:rPr>
          <w:rFonts w:ascii="Times New Roman" w:hAnsi="Times New Roman" w:cs="Times New Roman"/>
          <w:i/>
          <w:iCs/>
          <w:sz w:val="24"/>
          <w:szCs w:val="24"/>
        </w:rPr>
        <w:t xml:space="preserve">Hereditary </w:t>
      </w:r>
      <w:r w:rsidRPr="00872318">
        <w:rPr>
          <w:rFonts w:ascii="Times New Roman" w:hAnsi="Times New Roman" w:cs="Times New Roman"/>
          <w:sz w:val="24"/>
          <w:szCs w:val="24"/>
        </w:rPr>
        <w:t xml:space="preserve">follows a nuclear family as they grieve first their maternal grandmother, and next the family’s adolescent daughter, forcing them all to confront the family’s sinister history of violent deaths and the possibility of Satanic </w:t>
      </w:r>
      <w:r w:rsidRPr="00872318">
        <w:rPr>
          <w:rFonts w:ascii="Times New Roman" w:hAnsi="Times New Roman" w:cs="Times New Roman"/>
          <w:sz w:val="24"/>
          <w:szCs w:val="24"/>
        </w:rPr>
        <w:lastRenderedPageBreak/>
        <w:t>influence, which is eventually proved to be true.</w:t>
      </w:r>
      <w:r w:rsidRPr="00872318">
        <w:rPr>
          <w:rStyle w:val="FootnoteReference"/>
          <w:rFonts w:cs="Times New Roman"/>
          <w:sz w:val="24"/>
          <w:szCs w:val="24"/>
        </w:rPr>
        <w:footnoteReference w:id="67"/>
      </w:r>
      <w:r w:rsidRPr="00872318">
        <w:rPr>
          <w:rFonts w:ascii="Times New Roman" w:hAnsi="Times New Roman" w:cs="Times New Roman"/>
          <w:sz w:val="24"/>
          <w:szCs w:val="24"/>
        </w:rPr>
        <w:t xml:space="preserve"> The use of Satanic imagery is inherently Christian for reasons explored in the previous section of this paper, but Aster uses his Catholic drag to achieve something slightly different than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While the film is undoubtedly bleak, certain critics have noted a vein of dark comedy running throughout </w:t>
      </w:r>
      <w:r w:rsidRPr="00872318">
        <w:rPr>
          <w:rFonts w:ascii="Times New Roman" w:hAnsi="Times New Roman" w:cs="Times New Roman"/>
          <w:i/>
          <w:iCs/>
          <w:sz w:val="24"/>
          <w:szCs w:val="24"/>
        </w:rPr>
        <w:t>Hereditary</w:t>
      </w:r>
      <w:r w:rsidRPr="00872318">
        <w:rPr>
          <w:rFonts w:ascii="Times New Roman" w:hAnsi="Times New Roman" w:cs="Times New Roman"/>
          <w:sz w:val="24"/>
          <w:szCs w:val="24"/>
        </w:rPr>
        <w:t xml:space="preserve">, which I believe is partly due to its Jewish undertones. The family’s structure of a neurotic mother, an ineffectual father, and a son who literally ends up being crowned a prince (of Hell), echoes Jewish writers such as Philip Roth (especially </w:t>
      </w:r>
      <w:r w:rsidRPr="00872318">
        <w:rPr>
          <w:rFonts w:ascii="Times New Roman" w:hAnsi="Times New Roman" w:cs="Times New Roman"/>
          <w:i/>
          <w:iCs/>
          <w:sz w:val="24"/>
          <w:szCs w:val="24"/>
        </w:rPr>
        <w:t>Portnoy’s Complaint</w:t>
      </w:r>
      <w:r w:rsidRPr="00872318">
        <w:rPr>
          <w:rFonts w:ascii="Times New Roman" w:hAnsi="Times New Roman" w:cs="Times New Roman"/>
          <w:sz w:val="24"/>
          <w:szCs w:val="24"/>
        </w:rPr>
        <w:t xml:space="preserve">) and there is certainly a possible reading of </w:t>
      </w:r>
      <w:r w:rsidRPr="00872318">
        <w:rPr>
          <w:rFonts w:ascii="Times New Roman" w:hAnsi="Times New Roman" w:cs="Times New Roman"/>
          <w:i/>
          <w:iCs/>
          <w:sz w:val="24"/>
          <w:szCs w:val="24"/>
        </w:rPr>
        <w:t>Hereditary</w:t>
      </w:r>
      <w:r w:rsidRPr="00872318">
        <w:rPr>
          <w:rFonts w:ascii="Times New Roman" w:hAnsi="Times New Roman" w:cs="Times New Roman"/>
          <w:sz w:val="24"/>
          <w:szCs w:val="24"/>
        </w:rPr>
        <w:t xml:space="preserve"> as an extremely dark satire of the Jewish family. In religious terms, the family are depicted non-specifically, with the two funerals they attend being devoid of any concrete religious imagery and no references being made to their cultural identity. The only point of reference Aster provides is the grandmother’s association with the occult, specifically the demon Paimon, Outside of this narrative, the actual demon has unclear roots, with origins in both Arabic culture and in the occult.</w:t>
      </w:r>
      <w:r w:rsidRPr="00872318">
        <w:rPr>
          <w:rStyle w:val="FootnoteReference"/>
          <w:rFonts w:cs="Times New Roman"/>
          <w:sz w:val="24"/>
          <w:szCs w:val="24"/>
        </w:rPr>
        <w:footnoteReference w:id="68"/>
      </w:r>
      <w:r w:rsidRPr="00872318">
        <w:rPr>
          <w:rFonts w:ascii="Times New Roman" w:hAnsi="Times New Roman" w:cs="Times New Roman"/>
          <w:sz w:val="24"/>
          <w:szCs w:val="24"/>
        </w:rPr>
        <w:t xml:space="preserve"> If audiences interpret Paimon as the latter, then </w:t>
      </w:r>
      <w:r w:rsidRPr="00872318">
        <w:rPr>
          <w:rFonts w:ascii="Times New Roman" w:hAnsi="Times New Roman" w:cs="Times New Roman"/>
          <w:i/>
          <w:iCs/>
          <w:sz w:val="24"/>
          <w:szCs w:val="24"/>
        </w:rPr>
        <w:t>Hereditary</w:t>
      </w:r>
      <w:r w:rsidRPr="00872318">
        <w:rPr>
          <w:rFonts w:ascii="Times New Roman" w:hAnsi="Times New Roman" w:cs="Times New Roman"/>
          <w:sz w:val="24"/>
          <w:szCs w:val="24"/>
        </w:rPr>
        <w:t xml:space="preserve"> can be seen as a fairly straightforward case of Catholic drag, in which Christian imagery is used to covertly satirise the Jewish family. However, if one interprets Paimon as a djinn, which predates Christianity, </w:t>
      </w:r>
      <w:r w:rsidRPr="00872318">
        <w:rPr>
          <w:rFonts w:ascii="Times New Roman" w:hAnsi="Times New Roman" w:cs="Times New Roman"/>
          <w:i/>
          <w:iCs/>
          <w:sz w:val="24"/>
          <w:szCs w:val="24"/>
        </w:rPr>
        <w:t>Hereditary</w:t>
      </w:r>
      <w:r w:rsidRPr="00872318">
        <w:rPr>
          <w:rFonts w:ascii="Times New Roman" w:hAnsi="Times New Roman" w:cs="Times New Roman"/>
          <w:sz w:val="24"/>
          <w:szCs w:val="24"/>
        </w:rPr>
        <w:t xml:space="preserve"> becomes a narrative of haunting, in which Abrahamic religion returns to a determinedly atheist/agnostic family, drawing out their conflicts and neuroses by reminding them that what they’ve inherited can never quite stay repressed.</w:t>
      </w:r>
    </w:p>
    <w:p w14:paraId="40E4A3FB"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While the Austrian director Michael Haneke is not Jewish himself, I would argue that his work, concerned as it is with the return of the repressed (</w:t>
      </w:r>
      <w:r w:rsidRPr="00872318">
        <w:rPr>
          <w:rFonts w:ascii="Times New Roman" w:hAnsi="Times New Roman" w:cs="Times New Roman"/>
          <w:i/>
          <w:iCs/>
          <w:sz w:val="24"/>
          <w:szCs w:val="24"/>
        </w:rPr>
        <w:t>Cache</w:t>
      </w:r>
      <w:r w:rsidRPr="00872318">
        <w:rPr>
          <w:rFonts w:ascii="Times New Roman" w:hAnsi="Times New Roman" w:cs="Times New Roman"/>
          <w:sz w:val="24"/>
          <w:szCs w:val="24"/>
        </w:rPr>
        <w:t>, 2005), the often-random nature of suffering (</w:t>
      </w:r>
      <w:r w:rsidRPr="00872318">
        <w:rPr>
          <w:rFonts w:ascii="Times New Roman" w:hAnsi="Times New Roman" w:cs="Times New Roman"/>
          <w:i/>
          <w:iCs/>
          <w:sz w:val="24"/>
          <w:szCs w:val="24"/>
        </w:rPr>
        <w:t>Funny Games</w:t>
      </w:r>
      <w:r w:rsidRPr="00872318">
        <w:rPr>
          <w:rFonts w:ascii="Times New Roman" w:hAnsi="Times New Roman" w:cs="Times New Roman"/>
          <w:sz w:val="24"/>
          <w:szCs w:val="24"/>
        </w:rPr>
        <w:t xml:space="preserve">, 1997 and 2007), and interrogating Christian ideas of sin </w:t>
      </w:r>
      <w:r w:rsidRPr="00872318">
        <w:rPr>
          <w:rFonts w:ascii="Times New Roman" w:hAnsi="Times New Roman" w:cs="Times New Roman"/>
          <w:sz w:val="24"/>
          <w:szCs w:val="24"/>
        </w:rPr>
        <w:lastRenderedPageBreak/>
        <w:t>and punishment (</w:t>
      </w:r>
      <w:r w:rsidRPr="00872318">
        <w:rPr>
          <w:rFonts w:ascii="Times New Roman" w:hAnsi="Times New Roman" w:cs="Times New Roman"/>
          <w:i/>
          <w:iCs/>
          <w:sz w:val="24"/>
          <w:szCs w:val="24"/>
        </w:rPr>
        <w:t>The White Ribbon</w:t>
      </w:r>
      <w:r w:rsidRPr="00872318">
        <w:rPr>
          <w:rFonts w:ascii="Times New Roman" w:hAnsi="Times New Roman" w:cs="Times New Roman"/>
          <w:sz w:val="24"/>
          <w:szCs w:val="24"/>
        </w:rPr>
        <w:t xml:space="preserve">, 2009) is, at least to some degree, coming from a Jewish perspective. </w:t>
      </w:r>
      <w:r w:rsidRPr="00872318">
        <w:rPr>
          <w:rFonts w:ascii="Times New Roman" w:hAnsi="Times New Roman" w:cs="Times New Roman"/>
          <w:i/>
          <w:iCs/>
          <w:sz w:val="24"/>
          <w:szCs w:val="24"/>
        </w:rPr>
        <w:t>The White Ribbon</w:t>
      </w:r>
      <w:r w:rsidRPr="00872318">
        <w:rPr>
          <w:rFonts w:ascii="Times New Roman" w:hAnsi="Times New Roman" w:cs="Times New Roman"/>
          <w:sz w:val="24"/>
          <w:szCs w:val="24"/>
        </w:rPr>
        <w:t xml:space="preserve"> follows strange, violent events happening over the course of a year in a small village in northern Germany during the years leading up to the outbreak of World War I.</w:t>
      </w:r>
      <w:r w:rsidRPr="00872318">
        <w:rPr>
          <w:rStyle w:val="FootnoteReference"/>
          <w:rFonts w:cs="Times New Roman"/>
          <w:sz w:val="24"/>
          <w:szCs w:val="24"/>
        </w:rPr>
        <w:footnoteReference w:id="69"/>
      </w:r>
      <w:r w:rsidRPr="00872318">
        <w:rPr>
          <w:rFonts w:ascii="Times New Roman" w:hAnsi="Times New Roman" w:cs="Times New Roman"/>
          <w:sz w:val="24"/>
          <w:szCs w:val="24"/>
        </w:rPr>
        <w:t xml:space="preserve"> Characters vary in their opinions on the source of the accidents, with many believing them to be acts of punishment for sin from God, ignoring the unrest and quiet violence surrounding them in their repressed community. While some might not deign to call </w:t>
      </w:r>
      <w:r w:rsidRPr="00872318">
        <w:rPr>
          <w:rFonts w:ascii="Times New Roman" w:hAnsi="Times New Roman" w:cs="Times New Roman"/>
          <w:i/>
          <w:iCs/>
          <w:sz w:val="24"/>
          <w:szCs w:val="24"/>
        </w:rPr>
        <w:t xml:space="preserve">The White Ribbon </w:t>
      </w:r>
      <w:r w:rsidRPr="00872318">
        <w:rPr>
          <w:rFonts w:ascii="Times New Roman" w:hAnsi="Times New Roman" w:cs="Times New Roman"/>
          <w:sz w:val="24"/>
          <w:szCs w:val="24"/>
        </w:rPr>
        <w:t xml:space="preserve">a conventional horror film, its concern with the macabre and use of horrific imagery (such as the maiming and near-blinding of Karli,or Klara’s violent killing of her father’s beloved pet bird) are emblematic of the genre, and in watching the town’s desperate attempts to ignore the potential sources of the problem, audiences are bound to feel pure horror. In his use of Catholic drag, Haneke is able to explore exactly </w:t>
      </w:r>
      <w:r w:rsidRPr="00872318">
        <w:rPr>
          <w:rFonts w:ascii="Times New Roman" w:hAnsi="Times New Roman" w:cs="Times New Roman"/>
          <w:i/>
          <w:iCs/>
          <w:sz w:val="24"/>
          <w:szCs w:val="24"/>
        </w:rPr>
        <w:t>why</w:t>
      </w:r>
      <w:r w:rsidRPr="00872318">
        <w:rPr>
          <w:rFonts w:ascii="Times New Roman" w:hAnsi="Times New Roman" w:cs="Times New Roman"/>
          <w:sz w:val="24"/>
          <w:szCs w:val="24"/>
        </w:rPr>
        <w:t xml:space="preserve"> Christianity relies so deeply on notions of divine punishment (and perhaps, by extension, divine intervention in general) and what psychological and social needs this fulfils. The repressed returns in this community, be it the feudal injustices of the Baron’s poor working conditions or the sexual abuse of a daughter by her father. Where Haneke finds his horror is in the acknowledgement that punishment for sin is not divine; it is earthly, messy, and can tear a community apart. </w:t>
      </w:r>
    </w:p>
    <w:p w14:paraId="1E7398E5"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However, Catholic drag is not the only aesthetic that horror creators may adopt. A prominent example of this is the work of Jewish director, writer, and producer Sam Raimi. While Raimi’s production credits include modern, mainstream Jewish horror such as </w:t>
      </w:r>
      <w:r w:rsidRPr="00872318">
        <w:rPr>
          <w:rFonts w:ascii="Times New Roman" w:hAnsi="Times New Roman" w:cs="Times New Roman"/>
          <w:i/>
          <w:iCs/>
          <w:sz w:val="24"/>
          <w:szCs w:val="24"/>
        </w:rPr>
        <w:t>The Possession</w:t>
      </w:r>
      <w:r w:rsidRPr="00872318">
        <w:rPr>
          <w:rFonts w:ascii="Times New Roman" w:hAnsi="Times New Roman" w:cs="Times New Roman"/>
          <w:sz w:val="24"/>
          <w:szCs w:val="24"/>
        </w:rPr>
        <w:t xml:space="preserve">, his directorial credits, such as </w:t>
      </w:r>
      <w:r w:rsidRPr="00872318">
        <w:rPr>
          <w:rFonts w:ascii="Times New Roman" w:hAnsi="Times New Roman" w:cs="Times New Roman"/>
          <w:i/>
          <w:iCs/>
          <w:sz w:val="24"/>
          <w:szCs w:val="24"/>
        </w:rPr>
        <w:t>Drag Me to Hell</w:t>
      </w:r>
      <w:r w:rsidRPr="00872318">
        <w:rPr>
          <w:rFonts w:ascii="Times New Roman" w:hAnsi="Times New Roman" w:cs="Times New Roman"/>
          <w:sz w:val="24"/>
          <w:szCs w:val="24"/>
        </w:rPr>
        <w:t xml:space="preserve"> (2009)</w:t>
      </w:r>
      <w:r w:rsidRPr="00872318">
        <w:rPr>
          <w:rStyle w:val="FootnoteReference"/>
          <w:rFonts w:cs="Times New Roman"/>
          <w:sz w:val="24"/>
          <w:szCs w:val="24"/>
        </w:rPr>
        <w:footnoteReference w:id="70"/>
      </w:r>
      <w:r w:rsidRPr="00872318">
        <w:rPr>
          <w:rFonts w:ascii="Times New Roman" w:hAnsi="Times New Roman" w:cs="Times New Roman"/>
          <w:sz w:val="24"/>
          <w:szCs w:val="24"/>
        </w:rPr>
        <w:t xml:space="preserve"> and </w:t>
      </w:r>
      <w:r w:rsidRPr="00872318">
        <w:rPr>
          <w:rFonts w:ascii="Times New Roman" w:hAnsi="Times New Roman" w:cs="Times New Roman"/>
          <w:i/>
          <w:iCs/>
          <w:sz w:val="24"/>
          <w:szCs w:val="24"/>
        </w:rPr>
        <w:t>The Evil Dead</w:t>
      </w:r>
      <w:r w:rsidRPr="00872318">
        <w:rPr>
          <w:rFonts w:ascii="Times New Roman" w:hAnsi="Times New Roman" w:cs="Times New Roman"/>
          <w:sz w:val="24"/>
          <w:szCs w:val="24"/>
        </w:rPr>
        <w:t xml:space="preserve"> series (1981-1992)</w:t>
      </w:r>
      <w:r w:rsidRPr="00872318">
        <w:rPr>
          <w:rStyle w:val="FootnoteReference"/>
          <w:rFonts w:cs="Times New Roman"/>
          <w:sz w:val="24"/>
          <w:szCs w:val="24"/>
        </w:rPr>
        <w:footnoteReference w:id="71"/>
      </w:r>
      <w:r w:rsidRPr="00872318">
        <w:rPr>
          <w:rFonts w:ascii="Times New Roman" w:hAnsi="Times New Roman" w:cs="Times New Roman"/>
          <w:sz w:val="24"/>
          <w:szCs w:val="24"/>
        </w:rPr>
        <w:t xml:space="preserve"> focus on uses of the occult and necromancy. While it’s fair to say that these </w:t>
      </w:r>
      <w:r w:rsidRPr="00872318">
        <w:rPr>
          <w:rFonts w:ascii="Times New Roman" w:hAnsi="Times New Roman" w:cs="Times New Roman"/>
          <w:sz w:val="24"/>
          <w:szCs w:val="24"/>
        </w:rPr>
        <w:lastRenderedPageBreak/>
        <w:t xml:space="preserve">films are not overly concerned with religion, this is yet another case of a Jewish horror creator choosing to avoid Jewish theology and to depict non-specific occult magic. I would like to suggest a few potential reasons for this. The first is a simple one, that the occult can reasonably be understood as largely Christian due to its reliance on Christian ideas of demons as minions of Lucifer, which would thus imply that Jewish movies centred on the occult are, to some extent, Catholic drag. The second is that due to anti-Semitic stereotypes of Kabbalah and accusations of blood libel, the occult could be interpreted as a stand-in for or representative of religious Judaism. This interpretation relies on the idea that Jewish creators such as Raimi and Levin have chosen to embrace anti-Semitic stereotypes, but here the purpose is unclear: while in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Levin uses anti-Semitic stereotypes to serve his overall satire, Raimi’s use of the occult doesn’t seem to serve any function other than as a narrative device. The third, and perhaps most convincing explanation in this case, is that the use of the occult is yet another way that Catholic drag can serve to decentre Christianity. By utilising necromancy in </w:t>
      </w:r>
      <w:r w:rsidRPr="00872318">
        <w:rPr>
          <w:rFonts w:ascii="Times New Roman" w:hAnsi="Times New Roman" w:cs="Times New Roman"/>
          <w:i/>
          <w:iCs/>
          <w:sz w:val="24"/>
          <w:szCs w:val="24"/>
        </w:rPr>
        <w:t>The Evil Dead</w:t>
      </w:r>
      <w:r w:rsidRPr="00872318">
        <w:rPr>
          <w:rFonts w:ascii="Times New Roman" w:hAnsi="Times New Roman" w:cs="Times New Roman"/>
          <w:sz w:val="24"/>
          <w:szCs w:val="24"/>
        </w:rPr>
        <w:t xml:space="preserve"> or vague Roma magic in </w:t>
      </w:r>
      <w:r w:rsidRPr="00872318">
        <w:rPr>
          <w:rFonts w:ascii="Times New Roman" w:hAnsi="Times New Roman" w:cs="Times New Roman"/>
          <w:i/>
          <w:iCs/>
          <w:sz w:val="24"/>
          <w:szCs w:val="24"/>
        </w:rPr>
        <w:t>Drag Me To Hell</w:t>
      </w:r>
      <w:r w:rsidRPr="00872318">
        <w:rPr>
          <w:rFonts w:ascii="Times New Roman" w:hAnsi="Times New Roman" w:cs="Times New Roman"/>
          <w:sz w:val="24"/>
          <w:szCs w:val="24"/>
        </w:rPr>
        <w:t>, Raimi is able to construct a narrative in which positive notions of Christianity, such as the idea that God might intervene to save imperilled characters or that evil-doers will be punished for their sins, are completely eradicated. Raimi is able to nullify any real-world power audiences may assume that Christianity possesses and create horror based more on chaos and the uncertainty that Christianity can do anything to save you.</w:t>
      </w:r>
    </w:p>
    <w:p w14:paraId="53BD5252" w14:textId="77777777" w:rsidR="0009680C" w:rsidRPr="00872318" w:rsidRDefault="0009680C" w:rsidP="0009680C">
      <w:pPr>
        <w:pStyle w:val="Heading1"/>
        <w:spacing w:line="480" w:lineRule="auto"/>
        <w:rPr>
          <w:rFonts w:ascii="Times New Roman" w:hAnsi="Times New Roman" w:cs="Times New Roman"/>
          <w:sz w:val="24"/>
          <w:szCs w:val="24"/>
        </w:rPr>
      </w:pPr>
      <w:bookmarkStart w:id="15" w:name="_Toc51249404"/>
      <w:r w:rsidRPr="00872318">
        <w:rPr>
          <w:rFonts w:ascii="Times New Roman" w:hAnsi="Times New Roman" w:cs="Times New Roman"/>
          <w:sz w:val="24"/>
          <w:szCs w:val="24"/>
        </w:rPr>
        <w:t xml:space="preserve">Conclusion: What </w:t>
      </w:r>
      <w:r w:rsidRPr="00872318">
        <w:rPr>
          <w:rFonts w:ascii="Times New Roman" w:hAnsi="Times New Roman" w:cs="Times New Roman"/>
          <w:i/>
          <w:iCs/>
          <w:sz w:val="24"/>
          <w:szCs w:val="24"/>
        </w:rPr>
        <w:t>is</w:t>
      </w:r>
      <w:r w:rsidRPr="00872318">
        <w:rPr>
          <w:rFonts w:ascii="Times New Roman" w:hAnsi="Times New Roman" w:cs="Times New Roman"/>
          <w:sz w:val="24"/>
          <w:szCs w:val="24"/>
        </w:rPr>
        <w:t xml:space="preserve"> Jewish horror?</w:t>
      </w:r>
      <w:bookmarkEnd w:id="15"/>
    </w:p>
    <w:p w14:paraId="210BF86C" w14:textId="77777777" w:rsidR="0009680C" w:rsidRPr="00872318" w:rsidRDefault="0009680C" w:rsidP="0009680C">
      <w:pPr>
        <w:spacing w:line="480" w:lineRule="auto"/>
        <w:rPr>
          <w:rFonts w:ascii="Times New Roman" w:hAnsi="Times New Roman" w:cs="Times New Roman"/>
          <w:sz w:val="24"/>
          <w:szCs w:val="24"/>
        </w:rPr>
      </w:pPr>
      <w:r w:rsidRPr="00872318">
        <w:rPr>
          <w:rFonts w:ascii="Times New Roman" w:hAnsi="Times New Roman" w:cs="Times New Roman"/>
          <w:sz w:val="24"/>
          <w:szCs w:val="24"/>
        </w:rPr>
        <w:t xml:space="preserve">Defining a whole new sub-genre is maybe an impossible task – there will always be exceptions to rules, contradictory examples, and overlap with other sub-genres. Genre is a nebulous concept at the best of times, and often resists definition beyond a set of aesthetics (science-fiction, gothic) or a general emotion (horror, romance, comedy). Indeed, in my research into Jewish horror, I have found all of the above, and finding the bounds of a </w:t>
      </w:r>
      <w:r w:rsidRPr="00872318">
        <w:rPr>
          <w:rFonts w:ascii="Times New Roman" w:hAnsi="Times New Roman" w:cs="Times New Roman"/>
          <w:sz w:val="24"/>
          <w:szCs w:val="24"/>
        </w:rPr>
        <w:lastRenderedPageBreak/>
        <w:t xml:space="preserve">concrete definition still proves elusive. What I have found, however, are a few tenets of Jewish horror that I hope will go some way towards constructing that definition and against which potential candidates for the genre can be tested. The first of these is a focus on suffering, rather than on the spectacle of suffering. As previously explained, Jewish horror is more concerned with actual bodily experiences rather than the terror of helplessness in the face of suffering. As such, certain horror tropes such as the specific victimisation of women and girls and the aestheticization of their suffering is featured far less, with a heavier focus on the idea that suffering can happen to anyone (in particular, the usually invulnerable young, healthy men, such as Gregor Samsa in ‘The Metamorphosis’ and Piotr in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Secondly, and perhaps linked to this, Jewish horror often frightens due to its reversal of power dynamics. This is achieved not only by re-envisioning what a typical victim might look like in a horror text, as previously mentioned, but also by re-envisioning what a villain or antagonist might look like. For example, in </w:t>
      </w:r>
      <w:r w:rsidRPr="00872318">
        <w:rPr>
          <w:rFonts w:ascii="Times New Roman" w:hAnsi="Times New Roman" w:cs="Times New Roman"/>
          <w:i/>
          <w:iCs/>
          <w:sz w:val="24"/>
          <w:szCs w:val="24"/>
        </w:rPr>
        <w:t>Demon</w:t>
      </w:r>
      <w:r w:rsidRPr="00872318">
        <w:rPr>
          <w:rFonts w:ascii="Times New Roman" w:hAnsi="Times New Roman" w:cs="Times New Roman"/>
          <w:sz w:val="24"/>
          <w:szCs w:val="24"/>
        </w:rPr>
        <w:t xml:space="preserve">, Hana is a disoriented spirit who had been wronged in her life; despite her terrorising the protagonist, she is hardly a figure of evil. By upsetting the status quo, Jewish horror forces audiences to confront their ideas of normality and evil, and the role they themselves have to play in maintaining or disrupting that. While a lot of Christian horror tends to stick to conservative narratives of sin and punishment, Jewish horror brings additional complexity to these narratives, encouraging audiences to empathise with both victims and villains, and blurring the line between both. This leads me on neatly to my third tenet: Jewish horror often has sympathy, or at least empathy, for the monster. This is not original and has been highlighted by Lester D. Friedman, but the extent of the trend has not been emphasised yet. Even in a text like </w:t>
      </w:r>
      <w:r w:rsidRPr="00872318">
        <w:rPr>
          <w:rFonts w:ascii="Times New Roman" w:hAnsi="Times New Roman" w:cs="Times New Roman"/>
          <w:i/>
          <w:iCs/>
          <w:sz w:val="24"/>
          <w:szCs w:val="24"/>
        </w:rPr>
        <w:t>Rosemary’s Baby</w:t>
      </w:r>
      <w:r w:rsidRPr="00872318">
        <w:rPr>
          <w:rFonts w:ascii="Times New Roman" w:hAnsi="Times New Roman" w:cs="Times New Roman"/>
          <w:sz w:val="24"/>
          <w:szCs w:val="24"/>
        </w:rPr>
        <w:t xml:space="preserve">, where the villains are clear-cut and the crimes horrific, the Castevets still have idiosyncrasies and character beyond simply being villains sent to torment the protagonist. This is no faceless demon with no apparent motive or an eternal serial killer who returns in sequel after sequel with no desire </w:t>
      </w:r>
      <w:r w:rsidRPr="00872318">
        <w:rPr>
          <w:rFonts w:ascii="Times New Roman" w:hAnsi="Times New Roman" w:cs="Times New Roman"/>
          <w:sz w:val="24"/>
          <w:szCs w:val="24"/>
        </w:rPr>
        <w:lastRenderedPageBreak/>
        <w:t xml:space="preserve">but to slice up teenagers – villains in Jewish horror are complex, nuanced, and sometimes even sympathetic to the point that one might not call them villains. My fourth and final tenet of Jewish horror is the sub-genre’s unique comedic sensibility. Firstly, the sub-genre is often humorous, with Friedman noting that the addition of ethnic specificity to horror scenarios often generates comedy (as in Roman Polanski’s </w:t>
      </w:r>
      <w:r w:rsidRPr="00872318">
        <w:rPr>
          <w:rFonts w:ascii="Times New Roman" w:hAnsi="Times New Roman" w:cs="Times New Roman"/>
          <w:i/>
          <w:iCs/>
          <w:sz w:val="24"/>
          <w:szCs w:val="24"/>
        </w:rPr>
        <w:t>The Fearless Vampire Killers</w:t>
      </w:r>
      <w:r w:rsidRPr="00872318">
        <w:rPr>
          <w:rFonts w:ascii="Times New Roman" w:hAnsi="Times New Roman" w:cs="Times New Roman"/>
          <w:sz w:val="24"/>
          <w:szCs w:val="24"/>
        </w:rPr>
        <w:t xml:space="preserve"> (1967)), and horror-comedy with Jewish themes is not uncommon.</w:t>
      </w:r>
      <w:r w:rsidRPr="00872318">
        <w:rPr>
          <w:rStyle w:val="FootnoteReference"/>
          <w:rFonts w:cs="Times New Roman"/>
          <w:sz w:val="24"/>
          <w:szCs w:val="24"/>
        </w:rPr>
        <w:footnoteReference w:id="72"/>
      </w:r>
      <w:r w:rsidRPr="00872318">
        <w:rPr>
          <w:rFonts w:ascii="Times New Roman" w:hAnsi="Times New Roman" w:cs="Times New Roman"/>
          <w:sz w:val="24"/>
          <w:szCs w:val="24"/>
        </w:rPr>
        <w:t xml:space="preserve"> Secondly, I would argue that a key element of comedy is incongruity, in placing something that is out of place into a scenario. While one could say that this is simply a rephrasing of Robin Wood’s idea of normality being attacked by the monster, the idea of the ‘monstrous’ element simply being incongruous fits more with Jewish horror’s social critiques and refusal to automatically condemn the monstrous and abject. While sometimes not outright humorous, the overall sensibility of Jewish horror, involving out-of-place elements and absurd situations, often veers closer to comedy in set-up at least, than horror.</w:t>
      </w:r>
    </w:p>
    <w:p w14:paraId="6345F889"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As a sub-genre, the value of Jewish horror does not simply lie in the representation of a broader range of experience on screen and in fiction. In a recent article questioning the absence of Jewish theology in horror, Ed Simon suggests that the Jewish experience has, historically, been so horrifying that horror is simply not needed as a genre. To quote the author, ‘No need for Pennywise the Clown when there are Cossacks; no fear of poltergeists and ghosts when there are Nazis’.</w:t>
      </w:r>
      <w:r w:rsidRPr="00872318">
        <w:rPr>
          <w:rStyle w:val="FootnoteReference"/>
          <w:rFonts w:cs="Times New Roman"/>
          <w:sz w:val="24"/>
          <w:szCs w:val="24"/>
        </w:rPr>
        <w:footnoteReference w:id="73"/>
      </w:r>
      <w:r w:rsidRPr="00872318">
        <w:rPr>
          <w:rFonts w:ascii="Times New Roman" w:hAnsi="Times New Roman" w:cs="Times New Roman"/>
          <w:sz w:val="24"/>
          <w:szCs w:val="24"/>
        </w:rPr>
        <w:t xml:space="preserve"> Even if we accept this to be true, ignoring the genre’s capability of providing sincere catharsis and a vital avenue to explore historical trauma in non-conventional ways, the argument that Jewish horror is redundant because of historical trauma is unconvincing. If historical trauma makes the horror genre redundant, then one </w:t>
      </w:r>
      <w:r w:rsidRPr="00872318">
        <w:rPr>
          <w:rFonts w:ascii="Times New Roman" w:hAnsi="Times New Roman" w:cs="Times New Roman"/>
          <w:sz w:val="24"/>
          <w:szCs w:val="24"/>
        </w:rPr>
        <w:lastRenderedPageBreak/>
        <w:t xml:space="preserve">might wonder why a distinct brand of African American horror (or horror noire) is thriving in the United States. Jewish horror has always existed, from the mysticism of Kabbalah, with its golems and dybbukim, to the Book of Job, and Ansky’s </w:t>
      </w:r>
      <w:r w:rsidRPr="00872318">
        <w:rPr>
          <w:rFonts w:ascii="Times New Roman" w:hAnsi="Times New Roman" w:cs="Times New Roman"/>
          <w:i/>
          <w:iCs/>
          <w:sz w:val="24"/>
          <w:szCs w:val="24"/>
        </w:rPr>
        <w:t>The Dybbuk</w:t>
      </w:r>
      <w:r w:rsidRPr="00872318">
        <w:rPr>
          <w:rFonts w:ascii="Times New Roman" w:hAnsi="Times New Roman" w:cs="Times New Roman"/>
          <w:sz w:val="24"/>
          <w:szCs w:val="24"/>
        </w:rPr>
        <w:t>. However, the sheer dominance of Christian narratives within the horror genre, especially in English-language texts, has quashed any other veins within the genre. Part of what initially fascinated me about this dissertation was the inevitable parallel avenues my investigation would point to. For example, one might ask where is the horror dedicated to Muslim theology? Or the horror interested in queer experiences? While there are examples of each in Western media, they are notable for being exceptions, not the rule, and have not become mainstream in the way that Christian horror has. With the dominance of Christian horror, a Christian mode of thinking has become ubiquitous. What is horrifying, what is normal, what is sacred and profane all becomes shaped by Christianity. I hope that by exploring Jewish horror as its own unique phenomenon, I can begin to highlight what is lost and what is unconsciously absorbed when the ideals of religion go unquestioned merely because horror is widely considered a marginal or less intellectual genre.</w:t>
      </w:r>
    </w:p>
    <w:p w14:paraId="0E5C8D8B"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Meanwhile, Jewish horror is growing as a genre. In 2020 alone, two new Jewish horror films have emerged: Eben McGarr’s </w:t>
      </w:r>
      <w:r w:rsidRPr="00872318">
        <w:rPr>
          <w:rFonts w:ascii="Times New Roman" w:hAnsi="Times New Roman" w:cs="Times New Roman"/>
          <w:i/>
          <w:iCs/>
          <w:sz w:val="24"/>
          <w:szCs w:val="24"/>
        </w:rPr>
        <w:t>Hanukkah</w:t>
      </w:r>
      <w:r w:rsidRPr="00872318">
        <w:rPr>
          <w:rFonts w:ascii="Times New Roman" w:hAnsi="Times New Roman" w:cs="Times New Roman"/>
          <w:sz w:val="24"/>
          <w:szCs w:val="24"/>
        </w:rPr>
        <w:t xml:space="preserve"> and Keith Thomas’s </w:t>
      </w:r>
      <w:r w:rsidRPr="00872318">
        <w:rPr>
          <w:rFonts w:ascii="Times New Roman" w:hAnsi="Times New Roman" w:cs="Times New Roman"/>
          <w:i/>
          <w:iCs/>
          <w:sz w:val="24"/>
          <w:szCs w:val="24"/>
        </w:rPr>
        <w:t>The Vigil</w:t>
      </w:r>
      <w:r w:rsidRPr="00872318">
        <w:rPr>
          <w:rFonts w:ascii="Times New Roman" w:hAnsi="Times New Roman" w:cs="Times New Roman"/>
          <w:sz w:val="24"/>
          <w:szCs w:val="24"/>
        </w:rPr>
        <w:t xml:space="preserve">. Among recent retellings of golem and dybbuk tales, these films are unique in that they do not focus intently on theology, but on experience. Both ground themselves in Jewish teachings, with </w:t>
      </w:r>
      <w:r w:rsidRPr="00872318">
        <w:rPr>
          <w:rFonts w:ascii="Times New Roman" w:hAnsi="Times New Roman" w:cs="Times New Roman"/>
          <w:i/>
          <w:iCs/>
          <w:sz w:val="24"/>
          <w:szCs w:val="24"/>
        </w:rPr>
        <w:t>The Vigil</w:t>
      </w:r>
      <w:r w:rsidRPr="00872318">
        <w:rPr>
          <w:rFonts w:ascii="Times New Roman" w:hAnsi="Times New Roman" w:cs="Times New Roman"/>
          <w:sz w:val="24"/>
          <w:szCs w:val="24"/>
        </w:rPr>
        <w:t xml:space="preserve"> in particular using the horror genre to explore grief, mourning, and trauma within the context of Orthodox Judaism in America. While </w:t>
      </w:r>
      <w:r w:rsidRPr="00872318">
        <w:rPr>
          <w:rFonts w:ascii="Times New Roman" w:hAnsi="Times New Roman" w:cs="Times New Roman"/>
          <w:i/>
          <w:iCs/>
          <w:sz w:val="24"/>
          <w:szCs w:val="24"/>
        </w:rPr>
        <w:t>Hanukkah</w:t>
      </w:r>
      <w:r w:rsidRPr="00872318">
        <w:rPr>
          <w:rFonts w:ascii="Times New Roman" w:hAnsi="Times New Roman" w:cs="Times New Roman"/>
          <w:sz w:val="24"/>
          <w:szCs w:val="24"/>
        </w:rPr>
        <w:t xml:space="preserve"> does rely somewhat on the humour of being perhaps the only Jewish slasher movie, both films illustrate that there is room for alternate narratives and experiences in horror, and that there is a whole world of possibilities for creators willing to step beyond the bounds of the Bible.</w:t>
      </w:r>
    </w:p>
    <w:p w14:paraId="0FAEC4F2" w14:textId="77777777" w:rsidR="0009680C" w:rsidRPr="00872318" w:rsidRDefault="0009680C" w:rsidP="0009680C">
      <w:pPr>
        <w:pStyle w:val="Heading1"/>
        <w:spacing w:line="480" w:lineRule="auto"/>
        <w:rPr>
          <w:rFonts w:ascii="Times New Roman" w:hAnsi="Times New Roman" w:cs="Times New Roman"/>
          <w:sz w:val="24"/>
          <w:szCs w:val="24"/>
        </w:rPr>
      </w:pPr>
      <w:bookmarkStart w:id="16" w:name="_Toc51249405"/>
      <w:r w:rsidRPr="00872318">
        <w:rPr>
          <w:rFonts w:ascii="Times New Roman" w:hAnsi="Times New Roman" w:cs="Times New Roman"/>
          <w:sz w:val="24"/>
          <w:szCs w:val="24"/>
        </w:rPr>
        <w:lastRenderedPageBreak/>
        <w:t>Bibliography</w:t>
      </w:r>
      <w:bookmarkEnd w:id="16"/>
    </w:p>
    <w:p w14:paraId="3EC63B46" w14:textId="77777777" w:rsidR="0009680C" w:rsidRPr="00872318" w:rsidRDefault="0009680C" w:rsidP="0009680C">
      <w:pPr>
        <w:pStyle w:val="Heading2"/>
        <w:spacing w:line="480" w:lineRule="auto"/>
        <w:rPr>
          <w:rFonts w:ascii="Times New Roman" w:hAnsi="Times New Roman" w:cs="Times New Roman"/>
          <w:sz w:val="24"/>
          <w:szCs w:val="24"/>
        </w:rPr>
      </w:pPr>
      <w:bookmarkStart w:id="17" w:name="_Toc51249406"/>
      <w:r w:rsidRPr="00872318">
        <w:rPr>
          <w:rFonts w:ascii="Times New Roman" w:hAnsi="Times New Roman" w:cs="Times New Roman"/>
          <w:sz w:val="24"/>
          <w:szCs w:val="24"/>
        </w:rPr>
        <w:t>Primary</w:t>
      </w:r>
      <w:bookmarkEnd w:id="17"/>
    </w:p>
    <w:p w14:paraId="55DCD195"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Aster, Ari, </w:t>
      </w:r>
      <w:r w:rsidRPr="00872318">
        <w:rPr>
          <w:rFonts w:ascii="Times New Roman" w:hAnsi="Times New Roman" w:cs="Times New Roman"/>
          <w:i/>
          <w:iCs/>
          <w:sz w:val="24"/>
          <w:szCs w:val="24"/>
        </w:rPr>
        <w:t>Hereditary</w:t>
      </w:r>
      <w:r w:rsidRPr="00872318">
        <w:rPr>
          <w:rFonts w:ascii="Times New Roman" w:hAnsi="Times New Roman" w:cs="Times New Roman"/>
          <w:sz w:val="24"/>
          <w:szCs w:val="24"/>
        </w:rPr>
        <w:t xml:space="preserve"> (A24, 2018)</w:t>
      </w:r>
    </w:p>
    <w:p w14:paraId="13612337"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Craven, Wes, </w:t>
      </w:r>
      <w:r w:rsidRPr="00872318">
        <w:rPr>
          <w:rFonts w:ascii="Times New Roman" w:hAnsi="Times New Roman" w:cs="Times New Roman"/>
          <w:i/>
          <w:iCs/>
          <w:sz w:val="24"/>
          <w:szCs w:val="24"/>
        </w:rPr>
        <w:t>A Nightmare On Elm Street</w:t>
      </w:r>
      <w:r w:rsidRPr="00872318">
        <w:rPr>
          <w:rFonts w:ascii="Times New Roman" w:hAnsi="Times New Roman" w:cs="Times New Roman"/>
          <w:sz w:val="24"/>
          <w:szCs w:val="24"/>
        </w:rPr>
        <w:t xml:space="preserve"> (New Line Cinema, 1984)</w:t>
      </w:r>
    </w:p>
    <w:p w14:paraId="10909F8B"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Cronenberg, David, </w:t>
      </w:r>
      <w:r w:rsidRPr="00872318">
        <w:rPr>
          <w:rFonts w:ascii="Times New Roman" w:hAnsi="Times New Roman" w:cs="Times New Roman"/>
          <w:i/>
          <w:iCs/>
          <w:sz w:val="24"/>
          <w:szCs w:val="24"/>
        </w:rPr>
        <w:t>The Fly</w:t>
      </w:r>
      <w:r w:rsidRPr="00872318">
        <w:rPr>
          <w:rFonts w:ascii="Times New Roman" w:hAnsi="Times New Roman" w:cs="Times New Roman"/>
          <w:sz w:val="24"/>
          <w:szCs w:val="24"/>
        </w:rPr>
        <w:t xml:space="preserve"> (Brooksfilms, 1986)</w:t>
      </w:r>
    </w:p>
    <w:p w14:paraId="17455191"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Friedkin, William, </w:t>
      </w:r>
      <w:r w:rsidRPr="00872318">
        <w:rPr>
          <w:rFonts w:ascii="Times New Roman" w:hAnsi="Times New Roman" w:cs="Times New Roman"/>
          <w:i/>
          <w:iCs/>
          <w:sz w:val="24"/>
          <w:szCs w:val="24"/>
        </w:rPr>
        <w:t>The Exorcist</w:t>
      </w:r>
      <w:r w:rsidRPr="00872318">
        <w:rPr>
          <w:rFonts w:ascii="Times New Roman" w:hAnsi="Times New Roman" w:cs="Times New Roman"/>
          <w:sz w:val="24"/>
          <w:szCs w:val="24"/>
        </w:rPr>
        <w:t xml:space="preserve"> (Hoya Productions, 1973)</w:t>
      </w:r>
    </w:p>
    <w:p w14:paraId="5956F8BF"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Michael Haneke, </w:t>
      </w:r>
      <w:r w:rsidRPr="00872318">
        <w:rPr>
          <w:rFonts w:ascii="Times New Roman" w:hAnsi="Times New Roman" w:cs="Times New Roman"/>
          <w:i/>
          <w:iCs/>
          <w:sz w:val="24"/>
          <w:szCs w:val="24"/>
        </w:rPr>
        <w:t>The White Ribbon</w:t>
      </w:r>
      <w:r w:rsidRPr="00872318">
        <w:rPr>
          <w:rFonts w:ascii="Times New Roman" w:hAnsi="Times New Roman" w:cs="Times New Roman"/>
          <w:sz w:val="24"/>
          <w:szCs w:val="24"/>
        </w:rPr>
        <w:t xml:space="preserve"> (Wega Film, 2009).</w:t>
      </w:r>
    </w:p>
    <w:p w14:paraId="7891A5C1"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Kafka, Franz, </w:t>
      </w:r>
      <w:r w:rsidRPr="00872318">
        <w:rPr>
          <w:rFonts w:ascii="Times New Roman" w:hAnsi="Times New Roman" w:cs="Times New Roman"/>
          <w:i/>
          <w:iCs/>
          <w:sz w:val="24"/>
          <w:szCs w:val="24"/>
        </w:rPr>
        <w:t>The Complete Short Stories</w:t>
      </w:r>
      <w:r w:rsidRPr="00872318">
        <w:rPr>
          <w:rFonts w:ascii="Times New Roman" w:hAnsi="Times New Roman" w:cs="Times New Roman"/>
          <w:sz w:val="24"/>
          <w:szCs w:val="24"/>
        </w:rPr>
        <w:t xml:space="preserve"> (London: Vintage Classics, 1992)</w:t>
      </w:r>
    </w:p>
    <w:p w14:paraId="0690CC50" w14:textId="77777777" w:rsidR="0009680C" w:rsidRPr="00872318" w:rsidRDefault="0009680C" w:rsidP="0009680C">
      <w:pPr>
        <w:spacing w:line="480" w:lineRule="auto"/>
        <w:ind w:firstLine="720"/>
        <w:rPr>
          <w:rFonts w:ascii="Times New Roman" w:eastAsia="Times New Roman" w:hAnsi="Times New Roman" w:cs="Times New Roman"/>
          <w:sz w:val="24"/>
          <w:szCs w:val="24"/>
          <w:lang w:eastAsia="en-GB"/>
        </w:rPr>
      </w:pPr>
      <w:r w:rsidRPr="00730725">
        <w:rPr>
          <w:rFonts w:ascii="Times New Roman" w:eastAsia="Times New Roman" w:hAnsi="Times New Roman" w:cs="Times New Roman"/>
          <w:color w:val="000000"/>
          <w:sz w:val="24"/>
          <w:szCs w:val="24"/>
          <w:shd w:val="clear" w:color="auto" w:fill="FFFFFF"/>
          <w:lang w:eastAsia="en-GB"/>
        </w:rPr>
        <w:t>Levin, Ira, and Chuck Palahniuk, </w:t>
      </w:r>
      <w:r w:rsidRPr="00730725">
        <w:rPr>
          <w:rFonts w:ascii="Times New Roman" w:eastAsia="Times New Roman" w:hAnsi="Times New Roman" w:cs="Times New Roman"/>
          <w:i/>
          <w:iCs/>
          <w:color w:val="000000"/>
          <w:sz w:val="24"/>
          <w:szCs w:val="24"/>
          <w:lang w:eastAsia="en-GB"/>
        </w:rPr>
        <w:t>Rosemary's Baby</w:t>
      </w:r>
      <w:r w:rsidRPr="00730725">
        <w:rPr>
          <w:rFonts w:ascii="Times New Roman" w:eastAsia="Times New Roman" w:hAnsi="Times New Roman" w:cs="Times New Roman"/>
          <w:color w:val="000000"/>
          <w:sz w:val="24"/>
          <w:szCs w:val="24"/>
          <w:shd w:val="clear" w:color="auto" w:fill="FFFFFF"/>
          <w:lang w:eastAsia="en-GB"/>
        </w:rPr>
        <w:t>, 2nd edn (Plymouth: Corsair, 2011)</w:t>
      </w:r>
    </w:p>
    <w:p w14:paraId="7BFABB74"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Livingstone, Jennie, </w:t>
      </w:r>
      <w:r w:rsidRPr="00872318">
        <w:rPr>
          <w:rFonts w:ascii="Times New Roman" w:hAnsi="Times New Roman" w:cs="Times New Roman"/>
          <w:i/>
          <w:iCs/>
          <w:sz w:val="24"/>
          <w:szCs w:val="24"/>
        </w:rPr>
        <w:t>Paris Is Burning</w:t>
      </w:r>
      <w:r w:rsidRPr="00872318">
        <w:rPr>
          <w:rFonts w:ascii="Times New Roman" w:hAnsi="Times New Roman" w:cs="Times New Roman"/>
          <w:sz w:val="24"/>
          <w:szCs w:val="24"/>
        </w:rPr>
        <w:t xml:space="preserve"> (Off-White Productions, 1990)</w:t>
      </w:r>
    </w:p>
    <w:p w14:paraId="5CF6394A"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McGarr, Eben, </w:t>
      </w:r>
      <w:r w:rsidRPr="00872318">
        <w:rPr>
          <w:rFonts w:ascii="Times New Roman" w:hAnsi="Times New Roman" w:cs="Times New Roman"/>
          <w:i/>
          <w:iCs/>
          <w:sz w:val="24"/>
          <w:szCs w:val="24"/>
        </w:rPr>
        <w:t>Hanukkah</w:t>
      </w:r>
      <w:r w:rsidRPr="00872318">
        <w:rPr>
          <w:rFonts w:ascii="Times New Roman" w:hAnsi="Times New Roman" w:cs="Times New Roman"/>
          <w:sz w:val="24"/>
          <w:szCs w:val="24"/>
        </w:rPr>
        <w:t xml:space="preserve"> (My Way Pictures, 2019)</w:t>
      </w:r>
    </w:p>
    <w:p w14:paraId="6D00B84D"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Polanski, Roman, </w:t>
      </w:r>
      <w:r w:rsidRPr="00872318">
        <w:rPr>
          <w:rFonts w:ascii="Times New Roman" w:hAnsi="Times New Roman" w:cs="Times New Roman"/>
          <w:i/>
          <w:iCs/>
          <w:sz w:val="24"/>
          <w:szCs w:val="24"/>
        </w:rPr>
        <w:t>The Fearless Vampire Killers</w:t>
      </w:r>
      <w:r w:rsidRPr="00872318">
        <w:rPr>
          <w:rFonts w:ascii="Times New Roman" w:hAnsi="Times New Roman" w:cs="Times New Roman"/>
          <w:sz w:val="24"/>
          <w:szCs w:val="24"/>
        </w:rPr>
        <w:t xml:space="preserve"> (Filmways, 1967)</w:t>
      </w:r>
    </w:p>
    <w:p w14:paraId="4FAB5BCE"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Raimi, Sam, </w:t>
      </w:r>
      <w:r w:rsidRPr="00872318">
        <w:rPr>
          <w:rFonts w:ascii="Times New Roman" w:hAnsi="Times New Roman" w:cs="Times New Roman"/>
          <w:i/>
          <w:iCs/>
          <w:sz w:val="24"/>
          <w:szCs w:val="24"/>
        </w:rPr>
        <w:t>Drag Me To Hell</w:t>
      </w:r>
      <w:r w:rsidRPr="00872318">
        <w:rPr>
          <w:rFonts w:ascii="Times New Roman" w:hAnsi="Times New Roman" w:cs="Times New Roman"/>
          <w:sz w:val="24"/>
          <w:szCs w:val="24"/>
        </w:rPr>
        <w:t xml:space="preserve"> (Ghost House Pictures, 2009)</w:t>
      </w:r>
    </w:p>
    <w:p w14:paraId="7BEDD529"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Raimi, Sam, </w:t>
      </w:r>
      <w:r w:rsidRPr="00872318">
        <w:rPr>
          <w:rFonts w:ascii="Times New Roman" w:hAnsi="Times New Roman" w:cs="Times New Roman"/>
          <w:i/>
          <w:iCs/>
          <w:sz w:val="24"/>
          <w:szCs w:val="24"/>
        </w:rPr>
        <w:t>The Evil Dead</w:t>
      </w:r>
      <w:r w:rsidRPr="00872318">
        <w:rPr>
          <w:rFonts w:ascii="Times New Roman" w:hAnsi="Times New Roman" w:cs="Times New Roman"/>
          <w:sz w:val="24"/>
          <w:szCs w:val="24"/>
        </w:rPr>
        <w:t xml:space="preserve"> (Renaissance Pictures, 1981)</w:t>
      </w:r>
    </w:p>
    <w:p w14:paraId="6E17723D"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Thomas, Keith, </w:t>
      </w:r>
      <w:r w:rsidRPr="00872318">
        <w:rPr>
          <w:rFonts w:ascii="Times New Roman" w:hAnsi="Times New Roman" w:cs="Times New Roman"/>
          <w:i/>
          <w:iCs/>
          <w:sz w:val="24"/>
          <w:szCs w:val="24"/>
        </w:rPr>
        <w:t>The Vigil</w:t>
      </w:r>
      <w:r w:rsidRPr="00872318">
        <w:rPr>
          <w:rFonts w:ascii="Times New Roman" w:hAnsi="Times New Roman" w:cs="Times New Roman"/>
          <w:sz w:val="24"/>
          <w:szCs w:val="24"/>
        </w:rPr>
        <w:t xml:space="preserve"> (Blumhouse Productions, 2019)</w:t>
      </w:r>
    </w:p>
    <w:p w14:paraId="1486812E" w14:textId="77777777" w:rsidR="0009680C" w:rsidRPr="00872318" w:rsidRDefault="0009680C" w:rsidP="0009680C">
      <w:pPr>
        <w:spacing w:line="480" w:lineRule="auto"/>
        <w:ind w:firstLine="720"/>
        <w:rPr>
          <w:rFonts w:ascii="Times New Roman" w:hAnsi="Times New Roman" w:cs="Times New Roman"/>
          <w:i/>
          <w:iCs/>
          <w:sz w:val="24"/>
          <w:szCs w:val="24"/>
        </w:rPr>
      </w:pPr>
      <w:r w:rsidRPr="00872318">
        <w:rPr>
          <w:rFonts w:ascii="Times New Roman" w:hAnsi="Times New Roman" w:cs="Times New Roman"/>
          <w:sz w:val="24"/>
          <w:szCs w:val="24"/>
        </w:rPr>
        <w:t xml:space="preserve">Waszyński, Michal, </w:t>
      </w:r>
      <w:r w:rsidRPr="00872318">
        <w:rPr>
          <w:rFonts w:ascii="Times New Roman" w:hAnsi="Times New Roman" w:cs="Times New Roman"/>
          <w:i/>
          <w:iCs/>
          <w:sz w:val="24"/>
          <w:szCs w:val="24"/>
        </w:rPr>
        <w:t>The Dybbuk</w:t>
      </w:r>
      <w:r w:rsidRPr="00872318">
        <w:rPr>
          <w:rFonts w:ascii="Times New Roman" w:hAnsi="Times New Roman" w:cs="Times New Roman"/>
          <w:sz w:val="24"/>
          <w:szCs w:val="24"/>
        </w:rPr>
        <w:t xml:space="preserve"> (Poland: Warszawakie Biuro Kinematograficzne Feniks, 1937)</w:t>
      </w:r>
    </w:p>
    <w:p w14:paraId="07166E4C" w14:textId="77777777" w:rsidR="0009680C" w:rsidRPr="00872318" w:rsidRDefault="0009680C" w:rsidP="0009680C">
      <w:pPr>
        <w:pStyle w:val="Heading2"/>
        <w:spacing w:line="480" w:lineRule="auto"/>
        <w:rPr>
          <w:rFonts w:ascii="Times New Roman" w:hAnsi="Times New Roman" w:cs="Times New Roman"/>
          <w:sz w:val="24"/>
          <w:szCs w:val="24"/>
        </w:rPr>
      </w:pPr>
      <w:bookmarkStart w:id="18" w:name="_Toc51249407"/>
      <w:r w:rsidRPr="00872318">
        <w:rPr>
          <w:rFonts w:ascii="Times New Roman" w:hAnsi="Times New Roman" w:cs="Times New Roman"/>
          <w:sz w:val="24"/>
          <w:szCs w:val="24"/>
        </w:rPr>
        <w:t>Secondary</w:t>
      </w:r>
      <w:bookmarkEnd w:id="18"/>
    </w:p>
    <w:p w14:paraId="02921003"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Bartov, Omer, </w:t>
      </w:r>
      <w:r w:rsidRPr="00872318">
        <w:rPr>
          <w:rFonts w:ascii="Times New Roman" w:hAnsi="Times New Roman" w:cs="Times New Roman"/>
          <w:i/>
          <w:iCs/>
          <w:sz w:val="24"/>
          <w:szCs w:val="24"/>
        </w:rPr>
        <w:t>The "Jew" In Cinema: From The Golem To Don't Touch My Holocaust</w:t>
      </w:r>
      <w:r w:rsidRPr="00872318">
        <w:rPr>
          <w:rFonts w:ascii="Times New Roman" w:hAnsi="Times New Roman" w:cs="Times New Roman"/>
          <w:sz w:val="24"/>
          <w:szCs w:val="24"/>
        </w:rPr>
        <w:t xml:space="preserve"> (Bloomington: Indiana University Press, 2005)</w:t>
      </w:r>
    </w:p>
    <w:p w14:paraId="387CF19F"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lastRenderedPageBreak/>
        <w:t xml:space="preserve">Barzilai, Maya, </w:t>
      </w:r>
      <w:r w:rsidRPr="00872318">
        <w:rPr>
          <w:rFonts w:ascii="Times New Roman" w:hAnsi="Times New Roman" w:cs="Times New Roman"/>
          <w:i/>
          <w:iCs/>
          <w:sz w:val="24"/>
          <w:szCs w:val="24"/>
        </w:rPr>
        <w:t>Golem: Modern Wars And Their Monsters</w:t>
      </w:r>
      <w:r w:rsidRPr="00872318">
        <w:rPr>
          <w:rFonts w:ascii="Times New Roman" w:hAnsi="Times New Roman" w:cs="Times New Roman"/>
          <w:sz w:val="24"/>
          <w:szCs w:val="24"/>
        </w:rPr>
        <w:t xml:space="preserve"> (New York: New York University Press, 2016)</w:t>
      </w:r>
    </w:p>
    <w:p w14:paraId="2C4E32E3"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Beavis, Mary Ann, "Angels Carrying Savage Weapons’: Uses Of The Bible In Contemporary Horror Films", </w:t>
      </w:r>
      <w:r w:rsidRPr="00872318">
        <w:rPr>
          <w:rFonts w:ascii="Times New Roman" w:hAnsi="Times New Roman" w:cs="Times New Roman"/>
          <w:i/>
          <w:iCs/>
          <w:sz w:val="24"/>
          <w:szCs w:val="24"/>
        </w:rPr>
        <w:t>Journal Of Religion &amp; Film</w:t>
      </w:r>
      <w:r w:rsidRPr="00872318">
        <w:rPr>
          <w:rFonts w:ascii="Times New Roman" w:hAnsi="Times New Roman" w:cs="Times New Roman"/>
          <w:sz w:val="24"/>
          <w:szCs w:val="24"/>
        </w:rPr>
        <w:t>, 7 (2003), 1-23 &lt;https://doi.org/https://digitalcommons.unomaha.edu/cgi/viewcontent.cgi?article=1719&amp;context=jrf&gt;</w:t>
      </w:r>
    </w:p>
    <w:p w14:paraId="4F02FBF1"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Bial, Henry, </w:t>
      </w:r>
      <w:r w:rsidRPr="00872318">
        <w:rPr>
          <w:rFonts w:ascii="Times New Roman" w:hAnsi="Times New Roman" w:cs="Times New Roman"/>
          <w:i/>
          <w:iCs/>
          <w:sz w:val="24"/>
          <w:szCs w:val="24"/>
        </w:rPr>
        <w:t>Acting Jewish</w:t>
      </w:r>
      <w:r w:rsidRPr="00872318">
        <w:rPr>
          <w:rFonts w:ascii="Times New Roman" w:hAnsi="Times New Roman" w:cs="Times New Roman"/>
          <w:sz w:val="24"/>
          <w:szCs w:val="24"/>
        </w:rPr>
        <w:t xml:space="preserve"> (Michigan: The University of Michigan Press)</w:t>
      </w:r>
    </w:p>
    <w:p w14:paraId="40881F59" w14:textId="77777777" w:rsidR="0009680C" w:rsidRPr="00872318" w:rsidRDefault="0009680C" w:rsidP="0009680C">
      <w:pPr>
        <w:spacing w:line="480" w:lineRule="auto"/>
        <w:ind w:firstLine="720"/>
        <w:rPr>
          <w:rFonts w:ascii="Times New Roman" w:eastAsia="Times New Roman" w:hAnsi="Times New Roman" w:cs="Times New Roman"/>
          <w:sz w:val="24"/>
          <w:szCs w:val="24"/>
          <w:lang w:eastAsia="en-GB"/>
        </w:rPr>
      </w:pPr>
      <w:r w:rsidRPr="00B11544">
        <w:rPr>
          <w:rFonts w:ascii="Times New Roman" w:eastAsia="Times New Roman" w:hAnsi="Times New Roman" w:cs="Times New Roman"/>
          <w:color w:val="000000"/>
          <w:sz w:val="24"/>
          <w:szCs w:val="24"/>
          <w:shd w:val="clear" w:color="auto" w:fill="FFFFFF"/>
          <w:lang w:eastAsia="en-GB"/>
        </w:rPr>
        <w:t>Booth, Rebecca, "Between Two Worlds: Regression, Restitution And Soul Transmigration In The Dybbuk (1937) And Demon (2015)", in </w:t>
      </w:r>
      <w:r w:rsidRPr="00B11544">
        <w:rPr>
          <w:rFonts w:ascii="Times New Roman" w:eastAsia="Times New Roman" w:hAnsi="Times New Roman" w:cs="Times New Roman"/>
          <w:i/>
          <w:iCs/>
          <w:color w:val="000000"/>
          <w:sz w:val="24"/>
          <w:szCs w:val="24"/>
          <w:lang w:eastAsia="en-GB"/>
        </w:rPr>
        <w:t>Scared Sacred: Idolatry, Religion And Worship In The Horror Film</w:t>
      </w:r>
      <w:r w:rsidRPr="00B11544">
        <w:rPr>
          <w:rFonts w:ascii="Times New Roman" w:eastAsia="Times New Roman" w:hAnsi="Times New Roman" w:cs="Times New Roman"/>
          <w:color w:val="000000"/>
          <w:sz w:val="24"/>
          <w:szCs w:val="24"/>
          <w:shd w:val="clear" w:color="auto" w:fill="FFFFFF"/>
          <w:lang w:eastAsia="en-GB"/>
        </w:rPr>
        <w:t> (United Kingdom: House of Leaves, 2020), pp. 133-155</w:t>
      </w:r>
    </w:p>
    <w:p w14:paraId="41276828"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Bruce, Iris, "'The Medium Is The Message': Cronenberg 'Outkafkas' Kafka", in </w:t>
      </w:r>
      <w:r w:rsidRPr="00872318">
        <w:rPr>
          <w:rFonts w:ascii="Times New Roman" w:hAnsi="Times New Roman" w:cs="Times New Roman"/>
          <w:i/>
          <w:iCs/>
          <w:sz w:val="24"/>
          <w:szCs w:val="24"/>
        </w:rPr>
        <w:t>Mediamorphosis: Kafka And The Moving Image</w:t>
      </w:r>
      <w:r w:rsidRPr="00872318">
        <w:rPr>
          <w:rFonts w:ascii="Times New Roman" w:hAnsi="Times New Roman" w:cs="Times New Roman"/>
          <w:sz w:val="24"/>
          <w:szCs w:val="24"/>
        </w:rPr>
        <w:t xml:space="preserve"> (New York City: Columbia University Press, 2016), pp. 210-236</w:t>
      </w:r>
    </w:p>
    <w:p w14:paraId="1FD3A3AB"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Bruce, Lenny, "Jewish And Goyish | My Jewish Learning", </w:t>
      </w:r>
      <w:r w:rsidRPr="00872318">
        <w:rPr>
          <w:rFonts w:ascii="Times New Roman" w:hAnsi="Times New Roman" w:cs="Times New Roman"/>
          <w:i/>
          <w:iCs/>
          <w:sz w:val="24"/>
          <w:szCs w:val="24"/>
        </w:rPr>
        <w:t>My Jewish Learning</w:t>
      </w:r>
      <w:r w:rsidRPr="00872318">
        <w:rPr>
          <w:rFonts w:ascii="Times New Roman" w:hAnsi="Times New Roman" w:cs="Times New Roman"/>
          <w:sz w:val="24"/>
          <w:szCs w:val="24"/>
        </w:rPr>
        <w:t>, 2020 &lt;https://www.myjewishlearning.com/article/jewish-and-goyish/&gt; [Accessed 1 July 2020]</w:t>
      </w:r>
    </w:p>
    <w:p w14:paraId="153AA87F"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Butler, Judith, </w:t>
      </w:r>
      <w:r w:rsidRPr="00872318">
        <w:rPr>
          <w:rFonts w:ascii="Times New Roman" w:hAnsi="Times New Roman" w:cs="Times New Roman"/>
          <w:i/>
          <w:iCs/>
          <w:sz w:val="24"/>
          <w:szCs w:val="24"/>
        </w:rPr>
        <w:t>Gender Trouble: Feminism And The Subversion Of Identity</w:t>
      </w:r>
      <w:r w:rsidRPr="00872318">
        <w:rPr>
          <w:rFonts w:ascii="Times New Roman" w:hAnsi="Times New Roman" w:cs="Times New Roman"/>
          <w:sz w:val="24"/>
          <w:szCs w:val="24"/>
        </w:rPr>
        <w:t xml:space="preserve"> (New York: Routledge, 1990), pp. 128-42</w:t>
      </w:r>
    </w:p>
    <w:p w14:paraId="065ECDA8"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Clover, Carol J, </w:t>
      </w:r>
      <w:r w:rsidRPr="00872318">
        <w:rPr>
          <w:rFonts w:ascii="Times New Roman" w:hAnsi="Times New Roman" w:cs="Times New Roman"/>
          <w:i/>
          <w:iCs/>
          <w:sz w:val="24"/>
          <w:szCs w:val="24"/>
        </w:rPr>
        <w:t>Men, Women And Chainsaws</w:t>
      </w:r>
      <w:r w:rsidRPr="00872318">
        <w:rPr>
          <w:rFonts w:ascii="Times New Roman" w:hAnsi="Times New Roman" w:cs="Times New Roman"/>
          <w:sz w:val="24"/>
          <w:szCs w:val="24"/>
        </w:rPr>
        <w:t xml:space="preserve"> (United Kingdom: B.F.I. Publishing, 1992)</w:t>
      </w:r>
    </w:p>
    <w:p w14:paraId="7E045E60"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lastRenderedPageBreak/>
        <w:t xml:space="preserve">Counter, Rosemary, "The Most Cursed Hit Movie Ever Made", </w:t>
      </w:r>
      <w:r w:rsidRPr="00872318">
        <w:rPr>
          <w:rFonts w:ascii="Times New Roman" w:hAnsi="Times New Roman" w:cs="Times New Roman"/>
          <w:i/>
          <w:iCs/>
          <w:sz w:val="24"/>
          <w:szCs w:val="24"/>
        </w:rPr>
        <w:t>Vanity Fair</w:t>
      </w:r>
      <w:r w:rsidRPr="00872318">
        <w:rPr>
          <w:rFonts w:ascii="Times New Roman" w:hAnsi="Times New Roman" w:cs="Times New Roman"/>
          <w:sz w:val="24"/>
          <w:szCs w:val="24"/>
        </w:rPr>
        <w:t>, 2017 &lt;https://www.vanityfair.com/hollywood/2017/06/the-most-cursed-hit-movie-ever-made-rosemarys-baby&gt; [Accessed 15 September 2020]</w:t>
      </w:r>
    </w:p>
    <w:p w14:paraId="08A5797F"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Crim, Brian E, </w:t>
      </w:r>
      <w:r w:rsidRPr="00872318">
        <w:rPr>
          <w:rFonts w:ascii="Times New Roman" w:hAnsi="Times New Roman" w:cs="Times New Roman"/>
          <w:i/>
          <w:iCs/>
          <w:sz w:val="24"/>
          <w:szCs w:val="24"/>
        </w:rPr>
        <w:t>Planet Auschwitz: Holocaust Representation In Science Fiction And Horror Film And Television</w:t>
      </w:r>
      <w:r w:rsidRPr="00872318">
        <w:rPr>
          <w:rFonts w:ascii="Times New Roman" w:hAnsi="Times New Roman" w:cs="Times New Roman"/>
          <w:sz w:val="24"/>
          <w:szCs w:val="24"/>
        </w:rPr>
        <w:t xml:space="preserve"> (Rutgers University Press, 2020), p. New Jersey</w:t>
      </w:r>
    </w:p>
    <w:p w14:paraId="4F32B0E9"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Cronenberg, David, Serge Grünberg, and Claudine Paquot, </w:t>
      </w:r>
      <w:r w:rsidRPr="00872318">
        <w:rPr>
          <w:rFonts w:ascii="Times New Roman" w:hAnsi="Times New Roman" w:cs="Times New Roman"/>
          <w:i/>
          <w:iCs/>
          <w:sz w:val="24"/>
          <w:szCs w:val="24"/>
        </w:rPr>
        <w:t>David Cronenberg</w:t>
      </w:r>
      <w:r w:rsidRPr="00872318">
        <w:rPr>
          <w:rFonts w:ascii="Times New Roman" w:hAnsi="Times New Roman" w:cs="Times New Roman"/>
          <w:sz w:val="24"/>
          <w:szCs w:val="24"/>
        </w:rPr>
        <w:t xml:space="preserve"> (London: Plexus, 2006), p. 93</w:t>
      </w:r>
    </w:p>
    <w:p w14:paraId="66B9C830" w14:textId="77777777" w:rsidR="0009680C" w:rsidRPr="00872318" w:rsidRDefault="0009680C" w:rsidP="0009680C">
      <w:pPr>
        <w:spacing w:line="480" w:lineRule="auto"/>
        <w:ind w:firstLine="720"/>
        <w:rPr>
          <w:rFonts w:ascii="Times New Roman" w:eastAsia="Times New Roman" w:hAnsi="Times New Roman" w:cs="Times New Roman"/>
          <w:sz w:val="24"/>
          <w:szCs w:val="24"/>
          <w:lang w:eastAsia="en-GB"/>
        </w:rPr>
      </w:pPr>
      <w:r w:rsidRPr="00730725">
        <w:rPr>
          <w:rFonts w:ascii="Times New Roman" w:eastAsia="Times New Roman" w:hAnsi="Times New Roman" w:cs="Times New Roman"/>
          <w:color w:val="000000"/>
          <w:sz w:val="24"/>
          <w:szCs w:val="24"/>
          <w:shd w:val="clear" w:color="auto" w:fill="FFFFFF"/>
          <w:lang w:eastAsia="en-GB"/>
        </w:rPr>
        <w:t>Derman, Ushi, "The Myth Of The Vampire Jew And Blood Libels | Beit Hatfutsot", </w:t>
      </w:r>
      <w:r w:rsidRPr="00730725">
        <w:rPr>
          <w:rFonts w:ascii="Times New Roman" w:eastAsia="Times New Roman" w:hAnsi="Times New Roman" w:cs="Times New Roman"/>
          <w:i/>
          <w:iCs/>
          <w:color w:val="000000"/>
          <w:sz w:val="24"/>
          <w:szCs w:val="24"/>
          <w:lang w:eastAsia="en-GB"/>
        </w:rPr>
        <w:t>Beit Hatfutsot</w:t>
      </w:r>
      <w:r w:rsidRPr="00730725">
        <w:rPr>
          <w:rFonts w:ascii="Times New Roman" w:eastAsia="Times New Roman" w:hAnsi="Times New Roman" w:cs="Times New Roman"/>
          <w:color w:val="000000"/>
          <w:sz w:val="24"/>
          <w:szCs w:val="24"/>
          <w:shd w:val="clear" w:color="auto" w:fill="FFFFFF"/>
          <w:lang w:eastAsia="en-GB"/>
        </w:rPr>
        <w:t>, 2017 &lt;https://www.bh.org.il/blog-items/myth-vampire-jew-blood-libels/&gt; [Accessed 17 September 2020]</w:t>
      </w:r>
    </w:p>
    <w:p w14:paraId="0041C8B6"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Friedman, Lester, ""Canyons Of Nightmare": The Jewish Horror Film", in </w:t>
      </w:r>
      <w:r w:rsidRPr="00872318">
        <w:rPr>
          <w:rFonts w:ascii="Times New Roman" w:hAnsi="Times New Roman" w:cs="Times New Roman"/>
          <w:i/>
          <w:iCs/>
          <w:sz w:val="24"/>
          <w:szCs w:val="24"/>
        </w:rPr>
        <w:t>Planks Of Reason: Essays On The Horror Film</w:t>
      </w:r>
      <w:r w:rsidRPr="00872318">
        <w:rPr>
          <w:rFonts w:ascii="Times New Roman" w:hAnsi="Times New Roman" w:cs="Times New Roman"/>
          <w:sz w:val="24"/>
          <w:szCs w:val="24"/>
        </w:rPr>
        <w:t xml:space="preserve"> (Lanham, Maryland: The Scarecrow Press, Inc., 1984), pp. 82-106</w:t>
      </w:r>
    </w:p>
    <w:p w14:paraId="76BD9779"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Frosh, Stephen, </w:t>
      </w:r>
      <w:r w:rsidRPr="00872318">
        <w:rPr>
          <w:rFonts w:ascii="Times New Roman" w:hAnsi="Times New Roman" w:cs="Times New Roman"/>
          <w:i/>
          <w:iCs/>
          <w:sz w:val="24"/>
          <w:szCs w:val="24"/>
        </w:rPr>
        <w:t>Hauntings</w:t>
      </w:r>
      <w:r w:rsidRPr="00872318">
        <w:rPr>
          <w:rFonts w:ascii="Times New Roman" w:hAnsi="Times New Roman" w:cs="Times New Roman"/>
          <w:sz w:val="24"/>
          <w:szCs w:val="24"/>
        </w:rPr>
        <w:t xml:space="preserve"> (New York: Palgrave Macmillan, 2013)</w:t>
      </w:r>
    </w:p>
    <w:p w14:paraId="62690759"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Gilbert, Ruth, "Jewish Gothic", in </w:t>
      </w:r>
      <w:r w:rsidRPr="00872318">
        <w:rPr>
          <w:rFonts w:ascii="Times New Roman" w:hAnsi="Times New Roman" w:cs="Times New Roman"/>
          <w:i/>
          <w:iCs/>
          <w:sz w:val="24"/>
          <w:szCs w:val="24"/>
        </w:rPr>
        <w:t>The Encyclopedia Of The Gothic</w:t>
      </w:r>
      <w:r w:rsidRPr="00872318">
        <w:rPr>
          <w:rFonts w:ascii="Times New Roman" w:hAnsi="Times New Roman" w:cs="Times New Roman"/>
          <w:sz w:val="24"/>
          <w:szCs w:val="24"/>
        </w:rPr>
        <w:t xml:space="preserve"> (Chichester: Wiley Blackwell, 2016), pp. 375-8</w:t>
      </w:r>
    </w:p>
    <w:p w14:paraId="724BDC70"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Hegel, Georg Wilhelm Friedrich, "On Christianity Early Theological Writings: Friedrick Hegel", </w:t>
      </w:r>
      <w:r w:rsidRPr="00872318">
        <w:rPr>
          <w:rFonts w:ascii="Times New Roman" w:hAnsi="Times New Roman" w:cs="Times New Roman"/>
          <w:i/>
          <w:iCs/>
          <w:sz w:val="24"/>
          <w:szCs w:val="24"/>
        </w:rPr>
        <w:t>Internet Archive</w:t>
      </w:r>
      <w:r w:rsidRPr="00872318">
        <w:rPr>
          <w:rFonts w:ascii="Times New Roman" w:hAnsi="Times New Roman" w:cs="Times New Roman"/>
          <w:sz w:val="24"/>
          <w:szCs w:val="24"/>
        </w:rPr>
        <w:t>, 1948 &lt;https://archive.org/details/onchristianityea010999mbp/page/n191/mode/2up&gt; [Accessed 15 September 2020]</w:t>
      </w:r>
    </w:p>
    <w:p w14:paraId="63549F3C"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Hendrix, Grady, "Survival At A Price: Welcome To Bari Wood’s The Tribe", </w:t>
      </w:r>
      <w:r w:rsidRPr="00872318">
        <w:rPr>
          <w:rFonts w:ascii="Times New Roman" w:hAnsi="Times New Roman" w:cs="Times New Roman"/>
          <w:i/>
          <w:iCs/>
          <w:sz w:val="24"/>
          <w:szCs w:val="24"/>
        </w:rPr>
        <w:t>Tor.Com</w:t>
      </w:r>
      <w:r w:rsidRPr="00872318">
        <w:rPr>
          <w:rFonts w:ascii="Times New Roman" w:hAnsi="Times New Roman" w:cs="Times New Roman"/>
          <w:sz w:val="24"/>
          <w:szCs w:val="24"/>
        </w:rPr>
        <w:t>, 2016 &lt;https://www.tor.com/2016/09/02/freaky-friday-welcome-to-the-tribe/&gt; [Accessed 9 March 2020]</w:t>
      </w:r>
    </w:p>
    <w:p w14:paraId="406DA606"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lastRenderedPageBreak/>
        <w:t>Kafka, Franz, "1915-10-25, Prag: An Den Kurt Wolff Verlag (G.H.Meyer)" (Vienna, 1915), Universitat Wien</w:t>
      </w:r>
    </w:p>
    <w:p w14:paraId="49871D3B"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Kerner, Aaron, </w:t>
      </w:r>
      <w:r w:rsidRPr="00872318">
        <w:rPr>
          <w:rFonts w:ascii="Times New Roman" w:hAnsi="Times New Roman" w:cs="Times New Roman"/>
          <w:i/>
          <w:iCs/>
          <w:sz w:val="24"/>
          <w:szCs w:val="24"/>
        </w:rPr>
        <w:t>Film And The Holocaust: New Perspectives On Dramas, Documentaries, And Experimental Films</w:t>
      </w:r>
      <w:r w:rsidRPr="00872318">
        <w:rPr>
          <w:rFonts w:ascii="Times New Roman" w:hAnsi="Times New Roman" w:cs="Times New Roman"/>
          <w:sz w:val="24"/>
          <w:szCs w:val="24"/>
        </w:rPr>
        <w:t xml:space="preserve"> (London: Bloomsbury Publishing, 2011), pp. 155-77</w:t>
      </w:r>
    </w:p>
    <w:p w14:paraId="5F792D3C"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Koven, Mikel, "Golems, Dybbuks And Other Movie Monsters: The Search For A Jewish Horror Film", </w:t>
      </w:r>
      <w:r w:rsidRPr="00872318">
        <w:rPr>
          <w:rFonts w:ascii="Times New Roman" w:hAnsi="Times New Roman" w:cs="Times New Roman"/>
          <w:i/>
          <w:iCs/>
          <w:sz w:val="24"/>
          <w:szCs w:val="24"/>
        </w:rPr>
        <w:t>From The Mind Of Mikel</w:t>
      </w:r>
      <w:r w:rsidRPr="00872318">
        <w:rPr>
          <w:rFonts w:ascii="Times New Roman" w:hAnsi="Times New Roman" w:cs="Times New Roman"/>
          <w:sz w:val="24"/>
          <w:szCs w:val="24"/>
        </w:rPr>
        <w:t>, 2013 &lt;https://fromthemindofmikel.wordpress.com/2013/07/02/golems-dybbuks-and-other-movie-monsters-the-search-for-a-jewish-horror-film/&gt; [Accessed 14 June 2020]</w:t>
      </w:r>
    </w:p>
    <w:p w14:paraId="46C9379B"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Koven, Mikel, "Golems, Dybbuks, &amp; Other Movie Monsters", 2020</w:t>
      </w:r>
    </w:p>
    <w:p w14:paraId="306702DC" w14:textId="77777777" w:rsidR="0009680C" w:rsidRPr="00730725" w:rsidRDefault="0009680C" w:rsidP="0009680C">
      <w:pPr>
        <w:spacing w:line="480" w:lineRule="auto"/>
        <w:ind w:firstLine="720"/>
        <w:rPr>
          <w:rFonts w:ascii="Times New Roman" w:eastAsia="Times New Roman" w:hAnsi="Times New Roman" w:cs="Times New Roman"/>
          <w:sz w:val="24"/>
          <w:szCs w:val="24"/>
          <w:lang w:eastAsia="en-GB"/>
        </w:rPr>
      </w:pPr>
      <w:r w:rsidRPr="00730725">
        <w:rPr>
          <w:rFonts w:ascii="Times New Roman" w:eastAsia="Times New Roman" w:hAnsi="Times New Roman" w:cs="Times New Roman"/>
          <w:color w:val="000000"/>
          <w:sz w:val="24"/>
          <w:szCs w:val="24"/>
          <w:shd w:val="clear" w:color="auto" w:fill="FFFFFF"/>
          <w:lang w:eastAsia="en-GB"/>
        </w:rPr>
        <w:t>Rainer, Peter, "Creepily Ambiguous 'Demon' Delves Into The Nature Of Polish Collective Guilt", </w:t>
      </w:r>
      <w:r w:rsidRPr="00730725">
        <w:rPr>
          <w:rFonts w:ascii="Times New Roman" w:eastAsia="Times New Roman" w:hAnsi="Times New Roman" w:cs="Times New Roman"/>
          <w:i/>
          <w:iCs/>
          <w:color w:val="000000"/>
          <w:sz w:val="24"/>
          <w:szCs w:val="24"/>
          <w:lang w:eastAsia="en-GB"/>
        </w:rPr>
        <w:t>The Christian Science Monitor</w:t>
      </w:r>
      <w:r w:rsidRPr="00730725">
        <w:rPr>
          <w:rFonts w:ascii="Times New Roman" w:eastAsia="Times New Roman" w:hAnsi="Times New Roman" w:cs="Times New Roman"/>
          <w:color w:val="000000"/>
          <w:sz w:val="24"/>
          <w:szCs w:val="24"/>
          <w:shd w:val="clear" w:color="auto" w:fill="FFFFFF"/>
          <w:lang w:eastAsia="en-GB"/>
        </w:rPr>
        <w:t>, 2016 &lt;https://www.csmonitor.com/The-Culture/Movies/2016/0909/Creepily-ambiguous-Demon-delves-into-the-nature-of-Polish-collective-guilt&gt; [Accessed 16 September 2020]</w:t>
      </w:r>
    </w:p>
    <w:p w14:paraId="7AE58BAF" w14:textId="77777777" w:rsidR="0009680C" w:rsidRPr="00872318" w:rsidRDefault="0009680C" w:rsidP="0009680C">
      <w:pPr>
        <w:spacing w:line="480" w:lineRule="auto"/>
        <w:ind w:firstLine="720"/>
        <w:rPr>
          <w:rFonts w:ascii="Times New Roman" w:eastAsia="Times New Roman" w:hAnsi="Times New Roman" w:cs="Times New Roman"/>
          <w:sz w:val="24"/>
          <w:szCs w:val="24"/>
          <w:lang w:eastAsia="en-GB"/>
        </w:rPr>
      </w:pPr>
      <w:r w:rsidRPr="00730725">
        <w:rPr>
          <w:rFonts w:ascii="Times New Roman" w:eastAsia="Times New Roman" w:hAnsi="Times New Roman" w:cs="Times New Roman"/>
          <w:color w:val="000000"/>
          <w:sz w:val="24"/>
          <w:szCs w:val="24"/>
          <w:shd w:val="clear" w:color="auto" w:fill="FFFFFF"/>
          <w:lang w:eastAsia="en-GB"/>
        </w:rPr>
        <w:t>Michaels, D., "Hidden In Plain Sight - Jewish Exponent", </w:t>
      </w:r>
      <w:r w:rsidRPr="00730725">
        <w:rPr>
          <w:rFonts w:ascii="Times New Roman" w:eastAsia="Times New Roman" w:hAnsi="Times New Roman" w:cs="Times New Roman"/>
          <w:i/>
          <w:iCs/>
          <w:color w:val="000000"/>
          <w:sz w:val="24"/>
          <w:szCs w:val="24"/>
          <w:lang w:eastAsia="en-GB"/>
        </w:rPr>
        <w:t>Jewish Exponent</w:t>
      </w:r>
      <w:r w:rsidRPr="00730725">
        <w:rPr>
          <w:rFonts w:ascii="Times New Roman" w:eastAsia="Times New Roman" w:hAnsi="Times New Roman" w:cs="Times New Roman"/>
          <w:color w:val="000000"/>
          <w:sz w:val="24"/>
          <w:szCs w:val="24"/>
          <w:shd w:val="clear" w:color="auto" w:fill="FFFFFF"/>
          <w:lang w:eastAsia="en-GB"/>
        </w:rPr>
        <w:t>, 2013 &lt;https://www.jewishexponent.com/2013/02/08/hidden-in-plain-sight/&gt; [Accessed 17 September 2020]</w:t>
      </w:r>
    </w:p>
    <w:p w14:paraId="532CA9A4"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Sartre, Jean-Paul, </w:t>
      </w:r>
      <w:r w:rsidRPr="00872318">
        <w:rPr>
          <w:rFonts w:ascii="Times New Roman" w:hAnsi="Times New Roman" w:cs="Times New Roman"/>
          <w:i/>
          <w:iCs/>
          <w:sz w:val="24"/>
          <w:szCs w:val="24"/>
        </w:rPr>
        <w:t>Anti-Semite And Jew</w:t>
      </w:r>
      <w:r w:rsidRPr="00872318">
        <w:rPr>
          <w:rFonts w:ascii="Times New Roman" w:hAnsi="Times New Roman" w:cs="Times New Roman"/>
          <w:sz w:val="24"/>
          <w:szCs w:val="24"/>
        </w:rPr>
        <w:t>, 2nd edn (New York, N.Y: Schocken, 1995), p. 8</w:t>
      </w:r>
    </w:p>
    <w:p w14:paraId="7374D629"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Simon, Ed, "Jewish Horror, Monotheism, And The Origins Of Evil", </w:t>
      </w:r>
      <w:r w:rsidRPr="00872318">
        <w:rPr>
          <w:rFonts w:ascii="Times New Roman" w:hAnsi="Times New Roman" w:cs="Times New Roman"/>
          <w:i/>
          <w:iCs/>
          <w:sz w:val="24"/>
          <w:szCs w:val="24"/>
        </w:rPr>
        <w:t>Tablet Magazine</w:t>
      </w:r>
      <w:r w:rsidRPr="00872318">
        <w:rPr>
          <w:rFonts w:ascii="Times New Roman" w:hAnsi="Times New Roman" w:cs="Times New Roman"/>
          <w:sz w:val="24"/>
          <w:szCs w:val="24"/>
        </w:rPr>
        <w:t>, 2019 &lt;https://www.tabletmag.com/sections/arts-letters/articles/jewish-horror&gt; [Accessed 15 September 2020]</w:t>
      </w:r>
    </w:p>
    <w:p w14:paraId="6448DE13" w14:textId="77777777" w:rsidR="0009680C" w:rsidRPr="00872318" w:rsidRDefault="0009680C" w:rsidP="0009680C">
      <w:pPr>
        <w:spacing w:line="480" w:lineRule="auto"/>
        <w:ind w:firstLine="720"/>
        <w:rPr>
          <w:rFonts w:ascii="Times New Roman" w:eastAsia="Times New Roman" w:hAnsi="Times New Roman" w:cs="Times New Roman"/>
          <w:sz w:val="24"/>
          <w:szCs w:val="24"/>
          <w:lang w:eastAsia="en-GB"/>
        </w:rPr>
      </w:pPr>
      <w:r w:rsidRPr="00730725">
        <w:rPr>
          <w:rFonts w:ascii="Times New Roman" w:eastAsia="Times New Roman" w:hAnsi="Times New Roman" w:cs="Times New Roman"/>
          <w:color w:val="000000"/>
          <w:sz w:val="24"/>
          <w:szCs w:val="24"/>
          <w:shd w:val="clear" w:color="auto" w:fill="FFFFFF"/>
          <w:lang w:eastAsia="en-GB"/>
        </w:rPr>
        <w:lastRenderedPageBreak/>
        <w:t>Sokol, Tony, "Hereditary: The Real Story Of King Paimon | Den Of Geek", </w:t>
      </w:r>
      <w:r w:rsidRPr="00730725">
        <w:rPr>
          <w:rFonts w:ascii="Times New Roman" w:eastAsia="Times New Roman" w:hAnsi="Times New Roman" w:cs="Times New Roman"/>
          <w:i/>
          <w:iCs/>
          <w:color w:val="000000"/>
          <w:sz w:val="24"/>
          <w:szCs w:val="24"/>
          <w:lang w:eastAsia="en-GB"/>
        </w:rPr>
        <w:t>Den Of Geek</w:t>
      </w:r>
      <w:r w:rsidRPr="00730725">
        <w:rPr>
          <w:rFonts w:ascii="Times New Roman" w:eastAsia="Times New Roman" w:hAnsi="Times New Roman" w:cs="Times New Roman"/>
          <w:color w:val="000000"/>
          <w:sz w:val="24"/>
          <w:szCs w:val="24"/>
          <w:shd w:val="clear" w:color="auto" w:fill="FFFFFF"/>
          <w:lang w:eastAsia="en-GB"/>
        </w:rPr>
        <w:t>, 2018 &lt;https://www.denofgeek.com/movies/hereditary-the-real-story-of-king-paimon/&gt; [Accessed 17 September 2020]</w:t>
      </w:r>
    </w:p>
    <w:p w14:paraId="5A7C706B"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Stone, Bryan, "The Sanctification Of Fear: Images Of The Religious In Horror Films", </w:t>
      </w:r>
      <w:r w:rsidRPr="00872318">
        <w:rPr>
          <w:rFonts w:ascii="Times New Roman" w:hAnsi="Times New Roman" w:cs="Times New Roman"/>
          <w:i/>
          <w:iCs/>
          <w:sz w:val="24"/>
          <w:szCs w:val="24"/>
        </w:rPr>
        <w:t>Journal Of Religion And Film</w:t>
      </w:r>
      <w:r w:rsidRPr="00872318">
        <w:rPr>
          <w:rFonts w:ascii="Times New Roman" w:hAnsi="Times New Roman" w:cs="Times New Roman"/>
          <w:sz w:val="24"/>
          <w:szCs w:val="24"/>
        </w:rPr>
        <w:t>, 5 (2016)</w:t>
      </w:r>
    </w:p>
    <w:p w14:paraId="72F199D3"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Unknown, “David Cronenberg: Secret Jew Or Sell-Out? (Actually, He's Neither.)", </w:t>
      </w:r>
      <w:r w:rsidRPr="00872318">
        <w:rPr>
          <w:rFonts w:ascii="Times New Roman" w:hAnsi="Times New Roman" w:cs="Times New Roman"/>
          <w:i/>
          <w:iCs/>
          <w:sz w:val="24"/>
          <w:szCs w:val="24"/>
        </w:rPr>
        <w:t>Www.Nypress.Com</w:t>
      </w:r>
      <w:r w:rsidRPr="00872318">
        <w:rPr>
          <w:rFonts w:ascii="Times New Roman" w:hAnsi="Times New Roman" w:cs="Times New Roman"/>
          <w:sz w:val="24"/>
          <w:szCs w:val="24"/>
        </w:rPr>
        <w:t>, 2014 &lt;http://www.nypress.com/news/david-cronenberg-secret-jew-or-sell-out-actually-hes-neither-FANP1020071010310109971&gt; [Accessed 17 September 2020]</w:t>
      </w:r>
    </w:p>
    <w:p w14:paraId="39A73581" w14:textId="77777777" w:rsidR="0009680C" w:rsidRPr="00872318" w:rsidRDefault="0009680C" w:rsidP="0009680C">
      <w:pPr>
        <w:autoSpaceDE w:val="0"/>
        <w:autoSpaceDN w:val="0"/>
        <w:adjustRightInd w:val="0"/>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Weaver, Angela D., A. Dana Ménard, Christine Cabrera, and Angela Taylor, "Embodying The Moral Code? Thirty Years Of Final Girls In Slasher Films.", </w:t>
      </w:r>
      <w:r w:rsidRPr="00872318">
        <w:rPr>
          <w:rFonts w:ascii="Times New Roman" w:hAnsi="Times New Roman" w:cs="Times New Roman"/>
          <w:i/>
          <w:iCs/>
          <w:sz w:val="24"/>
          <w:szCs w:val="24"/>
        </w:rPr>
        <w:t>Psychology Of Popular Media Culture</w:t>
      </w:r>
      <w:r w:rsidRPr="00872318">
        <w:rPr>
          <w:rFonts w:ascii="Times New Roman" w:hAnsi="Times New Roman" w:cs="Times New Roman"/>
          <w:sz w:val="24"/>
          <w:szCs w:val="24"/>
        </w:rPr>
        <w:t>, 4 (2015), 31-46</w:t>
      </w:r>
    </w:p>
    <w:p w14:paraId="5EBC6775" w14:textId="77777777" w:rsidR="0009680C" w:rsidRPr="00872318" w:rsidRDefault="0009680C" w:rsidP="0009680C">
      <w:pPr>
        <w:spacing w:line="480" w:lineRule="auto"/>
        <w:ind w:firstLine="720"/>
        <w:rPr>
          <w:rFonts w:ascii="Times New Roman" w:eastAsia="Times New Roman" w:hAnsi="Times New Roman" w:cs="Times New Roman"/>
          <w:sz w:val="24"/>
          <w:szCs w:val="24"/>
          <w:lang w:eastAsia="en-GB"/>
        </w:rPr>
      </w:pPr>
      <w:r w:rsidRPr="00730725">
        <w:rPr>
          <w:rFonts w:ascii="Times New Roman" w:eastAsia="Times New Roman" w:hAnsi="Times New Roman" w:cs="Times New Roman"/>
          <w:color w:val="000000"/>
          <w:sz w:val="24"/>
          <w:szCs w:val="24"/>
          <w:shd w:val="clear" w:color="auto" w:fill="FFFFFF"/>
          <w:lang w:eastAsia="en-GB"/>
        </w:rPr>
        <w:t>West, Alexandra, "Onward, Christian Soldiers: Eyes Of Believers In The Conjuring (2013) And The Conjuring 2 (2016)", in </w:t>
      </w:r>
      <w:r w:rsidRPr="00730725">
        <w:rPr>
          <w:rFonts w:ascii="Times New Roman" w:eastAsia="Times New Roman" w:hAnsi="Times New Roman" w:cs="Times New Roman"/>
          <w:i/>
          <w:iCs/>
          <w:color w:val="000000"/>
          <w:sz w:val="24"/>
          <w:szCs w:val="24"/>
          <w:lang w:eastAsia="en-GB"/>
        </w:rPr>
        <w:t>Scared Sacred: Idolatry, Religion And Worship In The Horror Film</w:t>
      </w:r>
      <w:r w:rsidRPr="00730725">
        <w:rPr>
          <w:rFonts w:ascii="Times New Roman" w:eastAsia="Times New Roman" w:hAnsi="Times New Roman" w:cs="Times New Roman"/>
          <w:color w:val="000000"/>
          <w:sz w:val="24"/>
          <w:szCs w:val="24"/>
          <w:shd w:val="clear" w:color="auto" w:fill="FFFFFF"/>
          <w:lang w:eastAsia="en-GB"/>
        </w:rPr>
        <w:t> (United Kingdom: House of Leaves, 2020), pp. 17-39</w:t>
      </w:r>
    </w:p>
    <w:p w14:paraId="7CD9EC49"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Wood, Robin, "Return Of The Repressed", </w:t>
      </w:r>
      <w:r w:rsidRPr="00872318">
        <w:rPr>
          <w:rFonts w:ascii="Times New Roman" w:hAnsi="Times New Roman" w:cs="Times New Roman"/>
          <w:i/>
          <w:iCs/>
          <w:sz w:val="24"/>
          <w:szCs w:val="24"/>
        </w:rPr>
        <w:t>Film Comment</w:t>
      </w:r>
      <w:r w:rsidRPr="00872318">
        <w:rPr>
          <w:rFonts w:ascii="Times New Roman" w:hAnsi="Times New Roman" w:cs="Times New Roman"/>
          <w:sz w:val="24"/>
          <w:szCs w:val="24"/>
        </w:rPr>
        <w:t>, 14 (1978), 24-32</w:t>
      </w:r>
    </w:p>
    <w:p w14:paraId="4F4AA53A" w14:textId="77777777" w:rsidR="0009680C" w:rsidRPr="00872318" w:rsidRDefault="0009680C" w:rsidP="0009680C">
      <w:pPr>
        <w:spacing w:line="480" w:lineRule="auto"/>
        <w:ind w:firstLine="720"/>
        <w:rPr>
          <w:rFonts w:ascii="Times New Roman" w:hAnsi="Times New Roman" w:cs="Times New Roman"/>
          <w:sz w:val="24"/>
          <w:szCs w:val="24"/>
        </w:rPr>
      </w:pPr>
      <w:r w:rsidRPr="00872318">
        <w:rPr>
          <w:rFonts w:ascii="Times New Roman" w:hAnsi="Times New Roman" w:cs="Times New Roman"/>
          <w:sz w:val="24"/>
          <w:szCs w:val="24"/>
        </w:rPr>
        <w:t xml:space="preserve">Wynne-Walsh, Rebecca, "'There's No Place Like Home': Marcin Wrona's Demon (2015) And The Search For Belonging, Self-Definition And Heritage Amongst Conflicting Post-Communist Polish Conceptions Of Identity, Memory And History", in </w:t>
      </w:r>
      <w:r w:rsidRPr="00872318">
        <w:rPr>
          <w:rFonts w:ascii="Times New Roman" w:hAnsi="Times New Roman" w:cs="Times New Roman"/>
          <w:i/>
          <w:iCs/>
          <w:sz w:val="24"/>
          <w:szCs w:val="24"/>
        </w:rPr>
        <w:t>International Conference On Film Studies: '(De)Constructing Narrative Identities'</w:t>
      </w:r>
      <w:r w:rsidRPr="00872318">
        <w:rPr>
          <w:rFonts w:ascii="Times New Roman" w:hAnsi="Times New Roman" w:cs="Times New Roman"/>
          <w:sz w:val="24"/>
          <w:szCs w:val="24"/>
        </w:rPr>
        <w:t>, 2020</w:t>
      </w:r>
    </w:p>
    <w:p w14:paraId="601F8B3E" w14:textId="77777777" w:rsidR="006F68B6" w:rsidRDefault="004C2364"/>
    <w:sectPr w:rsidR="006F68B6" w:rsidSect="00A63DAC">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D4176F" w14:textId="77777777" w:rsidR="004C2364" w:rsidRDefault="004C2364" w:rsidP="0009680C">
      <w:pPr>
        <w:spacing w:after="0" w:line="240" w:lineRule="auto"/>
      </w:pPr>
      <w:r>
        <w:separator/>
      </w:r>
    </w:p>
  </w:endnote>
  <w:endnote w:type="continuationSeparator" w:id="0">
    <w:p w14:paraId="46310942" w14:textId="77777777" w:rsidR="004C2364" w:rsidRDefault="004C2364" w:rsidP="000968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463AE9" w14:textId="77777777" w:rsidR="004C2364" w:rsidRDefault="004C2364" w:rsidP="0009680C">
      <w:pPr>
        <w:spacing w:after="0" w:line="240" w:lineRule="auto"/>
      </w:pPr>
      <w:r>
        <w:separator/>
      </w:r>
    </w:p>
  </w:footnote>
  <w:footnote w:type="continuationSeparator" w:id="0">
    <w:p w14:paraId="37D15ED4" w14:textId="77777777" w:rsidR="004C2364" w:rsidRDefault="004C2364" w:rsidP="0009680C">
      <w:pPr>
        <w:spacing w:after="0" w:line="240" w:lineRule="auto"/>
      </w:pPr>
      <w:r>
        <w:continuationSeparator/>
      </w:r>
    </w:p>
  </w:footnote>
  <w:footnote w:id="1">
    <w:p w14:paraId="7DB193E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William Friedkin, </w:t>
      </w:r>
      <w:r w:rsidRPr="00872318">
        <w:rPr>
          <w:rFonts w:cs="Times New Roman"/>
          <w:i/>
          <w:iCs/>
          <w:sz w:val="22"/>
          <w:szCs w:val="22"/>
        </w:rPr>
        <w:t>The Exorcist</w:t>
      </w:r>
      <w:r w:rsidRPr="00872318">
        <w:rPr>
          <w:rFonts w:cs="Times New Roman"/>
          <w:sz w:val="22"/>
          <w:szCs w:val="22"/>
        </w:rPr>
        <w:t xml:space="preserve"> (Hoya Productions, 1973).</w:t>
      </w:r>
    </w:p>
  </w:footnote>
  <w:footnote w:id="2">
    <w:p w14:paraId="208341EF"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Wes Craven, </w:t>
      </w:r>
      <w:r w:rsidRPr="00872318">
        <w:rPr>
          <w:rFonts w:cs="Times New Roman"/>
          <w:i/>
          <w:iCs/>
          <w:sz w:val="22"/>
          <w:szCs w:val="22"/>
        </w:rPr>
        <w:t>A Nightmare On Elm Street</w:t>
      </w:r>
      <w:r w:rsidRPr="00872318">
        <w:rPr>
          <w:rFonts w:cs="Times New Roman"/>
          <w:sz w:val="22"/>
          <w:szCs w:val="22"/>
        </w:rPr>
        <w:t xml:space="preserve"> (New Line Cinema, 1984).</w:t>
      </w:r>
    </w:p>
  </w:footnote>
  <w:footnote w:id="3">
    <w:p w14:paraId="668538FA"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Carol J Clover, </w:t>
      </w:r>
      <w:r w:rsidRPr="00872318">
        <w:rPr>
          <w:rFonts w:cs="Times New Roman"/>
          <w:i/>
          <w:iCs/>
          <w:sz w:val="22"/>
          <w:szCs w:val="22"/>
        </w:rPr>
        <w:t>Men, Women And Chainsaws</w:t>
      </w:r>
      <w:r w:rsidRPr="00872318">
        <w:rPr>
          <w:rFonts w:cs="Times New Roman"/>
          <w:sz w:val="22"/>
          <w:szCs w:val="22"/>
        </w:rPr>
        <w:t xml:space="preserve"> (United Kingdom: B.F.I. Publishing, 1992).</w:t>
      </w:r>
    </w:p>
  </w:footnote>
  <w:footnote w:id="4">
    <w:p w14:paraId="1FE7AFC8"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Bryan Stone, "The Sanctification Of Fear: Images Of The Religious In Horror Films", </w:t>
      </w:r>
      <w:r w:rsidRPr="00872318">
        <w:rPr>
          <w:rFonts w:cs="Times New Roman"/>
          <w:i/>
          <w:iCs/>
          <w:sz w:val="22"/>
          <w:szCs w:val="22"/>
        </w:rPr>
        <w:t>Journal Of Religion And Film</w:t>
      </w:r>
      <w:r w:rsidRPr="00872318">
        <w:rPr>
          <w:rFonts w:cs="Times New Roman"/>
          <w:sz w:val="22"/>
          <w:szCs w:val="22"/>
        </w:rPr>
        <w:t>, 5.2 (2016).</w:t>
      </w:r>
    </w:p>
  </w:footnote>
  <w:footnote w:id="5">
    <w:p w14:paraId="164F40C9"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Angela D. Weaver and others, "Embodying The Moral Code? Thirty Years Of Final Girls In Slasher Films.", </w:t>
      </w:r>
      <w:r w:rsidRPr="00872318">
        <w:rPr>
          <w:rFonts w:cs="Times New Roman"/>
          <w:i/>
          <w:iCs/>
          <w:sz w:val="22"/>
          <w:szCs w:val="22"/>
        </w:rPr>
        <w:t>Psychology Of Popular Media Culture</w:t>
      </w:r>
      <w:r w:rsidRPr="00872318">
        <w:rPr>
          <w:rFonts w:cs="Times New Roman"/>
          <w:sz w:val="22"/>
          <w:szCs w:val="22"/>
        </w:rPr>
        <w:t>, 4.1 (2015), 31-46.</w:t>
      </w:r>
    </w:p>
  </w:footnote>
  <w:footnote w:id="6">
    <w:p w14:paraId="79750A2D"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Alexandra West, "Onward, Christian Soldiers: Eyes Of Believers In The Conjuring (2013) And The Conjuring 2 (2016)", in </w:t>
      </w:r>
      <w:r w:rsidRPr="00872318">
        <w:rPr>
          <w:rFonts w:cs="Times New Roman"/>
          <w:i/>
          <w:iCs/>
          <w:sz w:val="22"/>
          <w:szCs w:val="22"/>
        </w:rPr>
        <w:t>Scared Sacred: Idolatry, Religion And Worship In The Horror Film</w:t>
      </w:r>
      <w:r w:rsidRPr="00872318">
        <w:rPr>
          <w:rFonts w:cs="Times New Roman"/>
          <w:sz w:val="22"/>
          <w:szCs w:val="22"/>
        </w:rPr>
        <w:t xml:space="preserve"> (United Kingdom: House of Leaves, 2020), p. 28.</w:t>
      </w:r>
    </w:p>
  </w:footnote>
  <w:footnote w:id="7">
    <w:p w14:paraId="1A14522B"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Jean-Paul Sartre, </w:t>
      </w:r>
      <w:r w:rsidRPr="00872318">
        <w:rPr>
          <w:rFonts w:cs="Times New Roman"/>
          <w:i/>
          <w:iCs/>
          <w:sz w:val="22"/>
          <w:szCs w:val="22"/>
        </w:rPr>
        <w:t>Anti-Semite And Jew</w:t>
      </w:r>
      <w:r w:rsidRPr="00872318">
        <w:rPr>
          <w:rFonts w:cs="Times New Roman"/>
          <w:sz w:val="22"/>
          <w:szCs w:val="22"/>
        </w:rPr>
        <w:t>, 2nd edn (New York, N.Y: Schocken, 1995), p. 8.</w:t>
      </w:r>
    </w:p>
  </w:footnote>
  <w:footnote w:id="8">
    <w:p w14:paraId="18A0EBCD"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Henry Bial, </w:t>
      </w:r>
      <w:r w:rsidRPr="00872318">
        <w:rPr>
          <w:rFonts w:cs="Times New Roman"/>
          <w:i/>
          <w:iCs/>
          <w:sz w:val="22"/>
          <w:szCs w:val="22"/>
        </w:rPr>
        <w:t>Acting Jewish</w:t>
      </w:r>
      <w:r w:rsidRPr="00872318">
        <w:rPr>
          <w:rFonts w:cs="Times New Roman"/>
          <w:sz w:val="22"/>
          <w:szCs w:val="22"/>
        </w:rPr>
        <w:t xml:space="preserve"> (Michigan: The University of Michigan Press).</w:t>
      </w:r>
    </w:p>
  </w:footnote>
  <w:footnote w:id="9">
    <w:p w14:paraId="7082E971"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Lenny Bruce, "Jewish And Goyish | My Jewish Learning", </w:t>
      </w:r>
      <w:r w:rsidRPr="00872318">
        <w:rPr>
          <w:rFonts w:cs="Times New Roman"/>
          <w:i/>
          <w:iCs/>
          <w:sz w:val="22"/>
          <w:szCs w:val="22"/>
        </w:rPr>
        <w:t>My Jewish Learning</w:t>
      </w:r>
      <w:r w:rsidRPr="00872318">
        <w:rPr>
          <w:rFonts w:cs="Times New Roman"/>
          <w:sz w:val="22"/>
          <w:szCs w:val="22"/>
        </w:rPr>
        <w:t>, 2020 &lt;https://www.myjewishlearning.com/article/jewish-and-goyish/&gt; [Accessed 1 July 2020].</w:t>
      </w:r>
    </w:p>
  </w:footnote>
  <w:footnote w:id="10">
    <w:p w14:paraId="69428950"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Mikel Koven, "Golems, Dybbuks And Other Movie Monsters: The Search For A Jewish Horror Film", </w:t>
      </w:r>
      <w:r w:rsidRPr="00872318">
        <w:rPr>
          <w:rFonts w:cs="Times New Roman"/>
          <w:i/>
          <w:iCs/>
          <w:sz w:val="22"/>
          <w:szCs w:val="22"/>
        </w:rPr>
        <w:t>From The Mind Of Mikel</w:t>
      </w:r>
      <w:r w:rsidRPr="00872318">
        <w:rPr>
          <w:rFonts w:cs="Times New Roman"/>
          <w:sz w:val="22"/>
          <w:szCs w:val="22"/>
        </w:rPr>
        <w:t>, 2013 &lt;https://fromthemindofmikel.wordpress.com/2013/07/02/golems-dybbuks-and-other-movie-monsters-the-search-for-a-jewish-horror-film/&gt; [Accessed 14 June 2020].</w:t>
      </w:r>
    </w:p>
  </w:footnote>
  <w:footnote w:id="11">
    <w:p w14:paraId="389AA63E"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Franz Kafka, </w:t>
      </w:r>
      <w:r w:rsidRPr="00872318">
        <w:rPr>
          <w:rFonts w:cs="Times New Roman"/>
          <w:i/>
          <w:iCs/>
          <w:sz w:val="22"/>
          <w:szCs w:val="22"/>
        </w:rPr>
        <w:t>The Complete Short Stories</w:t>
      </w:r>
      <w:r w:rsidRPr="00872318">
        <w:rPr>
          <w:rFonts w:cs="Times New Roman"/>
          <w:sz w:val="22"/>
          <w:szCs w:val="22"/>
        </w:rPr>
        <w:t xml:space="preserve"> (London: Vintage Classics, 1992), p. 95.</w:t>
      </w:r>
    </w:p>
  </w:footnote>
  <w:footnote w:id="12">
    <w:p w14:paraId="1FE86CBF"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Franz Kafka, </w:t>
      </w:r>
      <w:r w:rsidRPr="00872318">
        <w:rPr>
          <w:rFonts w:cs="Times New Roman"/>
          <w:i/>
          <w:iCs/>
          <w:sz w:val="22"/>
          <w:szCs w:val="22"/>
        </w:rPr>
        <w:t>The Complete Short Stories</w:t>
      </w:r>
      <w:r w:rsidRPr="00872318">
        <w:rPr>
          <w:rFonts w:cs="Times New Roman"/>
          <w:sz w:val="22"/>
          <w:szCs w:val="22"/>
        </w:rPr>
        <w:t xml:space="preserve"> (London: Vintage Classics, 1992), p. 116.</w:t>
      </w:r>
    </w:p>
  </w:footnote>
  <w:footnote w:id="13">
    <w:p w14:paraId="32A09528"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Franz Kafka, </w:t>
      </w:r>
      <w:r w:rsidRPr="00872318">
        <w:rPr>
          <w:rFonts w:cs="Times New Roman"/>
          <w:i/>
          <w:iCs/>
          <w:sz w:val="22"/>
          <w:szCs w:val="22"/>
        </w:rPr>
        <w:t>The Complete Short Stories</w:t>
      </w:r>
      <w:r w:rsidRPr="00872318">
        <w:rPr>
          <w:rFonts w:cs="Times New Roman"/>
          <w:sz w:val="22"/>
          <w:szCs w:val="22"/>
        </w:rPr>
        <w:t xml:space="preserve"> (London: Vintage Classics, 1992), p. 160.</w:t>
      </w:r>
    </w:p>
  </w:footnote>
  <w:footnote w:id="14">
    <w:p w14:paraId="5586FB18"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Ibid, p. 239.</w:t>
      </w:r>
    </w:p>
  </w:footnote>
  <w:footnote w:id="15">
    <w:p w14:paraId="365BA036"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Ibid, p. 96.</w:t>
      </w:r>
    </w:p>
  </w:footnote>
  <w:footnote w:id="16">
    <w:p w14:paraId="741DFEF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Lester Friedman, ""Canyons Of Nightmare": The Jewish Horror Film", in </w:t>
      </w:r>
      <w:r w:rsidRPr="00872318">
        <w:rPr>
          <w:rFonts w:cs="Times New Roman"/>
          <w:i/>
          <w:iCs/>
          <w:sz w:val="22"/>
          <w:szCs w:val="22"/>
        </w:rPr>
        <w:t>Planks Of Reason: Essays On The Horror Film</w:t>
      </w:r>
      <w:r w:rsidRPr="00872318">
        <w:rPr>
          <w:rFonts w:cs="Times New Roman"/>
          <w:sz w:val="22"/>
          <w:szCs w:val="22"/>
        </w:rPr>
        <w:t xml:space="preserve"> (Lanham, Maryland: The Scarecrow Press, Inc., 1984), pp. 82-106.</w:t>
      </w:r>
    </w:p>
  </w:footnote>
  <w:footnote w:id="17">
    <w:p w14:paraId="3DCA871F"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Robin Wood, "Return Of The Repressed", </w:t>
      </w:r>
      <w:r w:rsidRPr="00872318">
        <w:rPr>
          <w:rFonts w:cs="Times New Roman"/>
          <w:i/>
          <w:iCs/>
          <w:sz w:val="22"/>
          <w:szCs w:val="22"/>
        </w:rPr>
        <w:t>Film Comment</w:t>
      </w:r>
      <w:r w:rsidRPr="00872318">
        <w:rPr>
          <w:rFonts w:cs="Times New Roman"/>
          <w:sz w:val="22"/>
          <w:szCs w:val="22"/>
        </w:rPr>
        <w:t>, 14.4 (1978), 24-32.</w:t>
      </w:r>
    </w:p>
  </w:footnote>
  <w:footnote w:id="18">
    <w:p w14:paraId="1DAE77D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Franz Kafka, </w:t>
      </w:r>
      <w:r w:rsidRPr="00872318">
        <w:rPr>
          <w:rFonts w:cs="Times New Roman"/>
          <w:i/>
          <w:iCs/>
          <w:sz w:val="22"/>
          <w:szCs w:val="22"/>
        </w:rPr>
        <w:t>The Complete Short Stories</w:t>
      </w:r>
      <w:r w:rsidRPr="00872318">
        <w:rPr>
          <w:rFonts w:cs="Times New Roman"/>
          <w:sz w:val="22"/>
          <w:szCs w:val="22"/>
        </w:rPr>
        <w:t xml:space="preserve"> (London: Vintage Classics, 1992), p. 132.</w:t>
      </w:r>
    </w:p>
  </w:footnote>
  <w:footnote w:id="19">
    <w:p w14:paraId="493778AC" w14:textId="77777777" w:rsidR="0009680C" w:rsidRPr="00872318" w:rsidRDefault="0009680C" w:rsidP="0009680C">
      <w:pPr>
        <w:rPr>
          <w:rFonts w:ascii="Times New Roman" w:eastAsia="Times New Roman" w:hAnsi="Times New Roman" w:cs="Times New Roman"/>
          <w:lang w:eastAsia="en-GB"/>
        </w:rPr>
      </w:pPr>
      <w:r w:rsidRPr="00872318">
        <w:rPr>
          <w:rStyle w:val="FootnoteReference"/>
          <w:rFonts w:cs="Times New Roman"/>
        </w:rPr>
        <w:footnoteRef/>
      </w:r>
      <w:r w:rsidRPr="00872318">
        <w:rPr>
          <w:rFonts w:ascii="Times New Roman" w:hAnsi="Times New Roman" w:cs="Times New Roman"/>
        </w:rPr>
        <w:t xml:space="preserve"> </w:t>
      </w:r>
      <w:r w:rsidRPr="00872318">
        <w:rPr>
          <w:rFonts w:ascii="Times New Roman" w:eastAsia="Times New Roman" w:hAnsi="Times New Roman" w:cs="Times New Roman"/>
          <w:color w:val="000000"/>
          <w:shd w:val="clear" w:color="auto" w:fill="FFFFFF"/>
          <w:lang w:eastAsia="en-GB"/>
        </w:rPr>
        <w:t>Iris Bruce, "'The Medium Is The Message': Cronenberg 'Outkafkas' Kafka", in </w:t>
      </w:r>
      <w:r w:rsidRPr="00872318">
        <w:rPr>
          <w:rFonts w:ascii="Times New Roman" w:eastAsia="Times New Roman" w:hAnsi="Times New Roman" w:cs="Times New Roman"/>
          <w:i/>
          <w:iCs/>
          <w:color w:val="000000"/>
          <w:lang w:eastAsia="en-GB"/>
        </w:rPr>
        <w:t>Mediamorphosis: Kafka And The Moving Image</w:t>
      </w:r>
      <w:r w:rsidRPr="00872318">
        <w:rPr>
          <w:rFonts w:ascii="Times New Roman" w:eastAsia="Times New Roman" w:hAnsi="Times New Roman" w:cs="Times New Roman"/>
          <w:color w:val="000000"/>
          <w:shd w:val="clear" w:color="auto" w:fill="FFFFFF"/>
          <w:lang w:eastAsia="en-GB"/>
        </w:rPr>
        <w:t> (New York City: Columbia University Press, 2016), pp. 210-236.</w:t>
      </w:r>
    </w:p>
  </w:footnote>
  <w:footnote w:id="20">
    <w:p w14:paraId="701D3FF7"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Ruth Gilbert, "Jewish Gothic", in </w:t>
      </w:r>
      <w:r w:rsidRPr="00872318">
        <w:rPr>
          <w:rFonts w:cs="Times New Roman"/>
          <w:i/>
          <w:iCs/>
          <w:sz w:val="22"/>
          <w:szCs w:val="22"/>
        </w:rPr>
        <w:t>The Encyclopedia Of The Gothic</w:t>
      </w:r>
      <w:r w:rsidRPr="00872318">
        <w:rPr>
          <w:rFonts w:cs="Times New Roman"/>
          <w:sz w:val="22"/>
          <w:szCs w:val="22"/>
        </w:rPr>
        <w:t xml:space="preserve"> (Chichester: Wiley Blackwell, 2016), pp. 375-8.</w:t>
      </w:r>
    </w:p>
  </w:footnote>
  <w:footnote w:id="21">
    <w:p w14:paraId="2D2BCCA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Franz Kafka, "1915-10-25, Prag: An Den Kurt Wolff Verlag (G.H.Meyer)" (Vienna, 1915), Universitat Wien.</w:t>
      </w:r>
    </w:p>
  </w:footnote>
  <w:footnote w:id="22">
    <w:p w14:paraId="04563DE5"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Franz Kafka, </w:t>
      </w:r>
      <w:r w:rsidRPr="00872318">
        <w:rPr>
          <w:rFonts w:cs="Times New Roman"/>
          <w:i/>
          <w:iCs/>
          <w:sz w:val="22"/>
          <w:szCs w:val="22"/>
        </w:rPr>
        <w:t>The Complete Short Stories</w:t>
      </w:r>
      <w:r w:rsidRPr="00872318">
        <w:rPr>
          <w:rFonts w:cs="Times New Roman"/>
          <w:sz w:val="22"/>
          <w:szCs w:val="22"/>
        </w:rPr>
        <w:t xml:space="preserve"> (London: Vintage Classics, 1992). P. 95.</w:t>
      </w:r>
    </w:p>
  </w:footnote>
  <w:footnote w:id="23">
    <w:p w14:paraId="7B9121E6"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Henry Bial, </w:t>
      </w:r>
      <w:r w:rsidRPr="00872318">
        <w:rPr>
          <w:rFonts w:cs="Times New Roman"/>
          <w:i/>
          <w:iCs/>
          <w:sz w:val="22"/>
          <w:szCs w:val="22"/>
        </w:rPr>
        <w:t>Acting Jewish</w:t>
      </w:r>
      <w:r w:rsidRPr="00872318">
        <w:rPr>
          <w:rFonts w:cs="Times New Roman"/>
          <w:sz w:val="22"/>
          <w:szCs w:val="22"/>
        </w:rPr>
        <w:t xml:space="preserve"> (Michigan: The University of Michigan Press).</w:t>
      </w:r>
    </w:p>
  </w:footnote>
  <w:footnote w:id="24">
    <w:p w14:paraId="09CE7F1A"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Omer Bartov, </w:t>
      </w:r>
      <w:r w:rsidRPr="00872318">
        <w:rPr>
          <w:rFonts w:cs="Times New Roman"/>
          <w:i/>
          <w:iCs/>
          <w:sz w:val="22"/>
          <w:szCs w:val="22"/>
        </w:rPr>
        <w:t>The "Jew" In Cinema: From The Golem To Don't Touch My Holocaust</w:t>
      </w:r>
      <w:r w:rsidRPr="00872318">
        <w:rPr>
          <w:rFonts w:cs="Times New Roman"/>
          <w:sz w:val="22"/>
          <w:szCs w:val="22"/>
        </w:rPr>
        <w:t xml:space="preserve"> (Bloomington: Indiana University Press, 2005).</w:t>
      </w:r>
    </w:p>
  </w:footnote>
  <w:footnote w:id="25">
    <w:p w14:paraId="51EEB660"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Franz Kafka, </w:t>
      </w:r>
      <w:r w:rsidRPr="00872318">
        <w:rPr>
          <w:rFonts w:cs="Times New Roman"/>
          <w:i/>
          <w:iCs/>
          <w:sz w:val="22"/>
          <w:szCs w:val="22"/>
        </w:rPr>
        <w:t>The Complete Short Stories</w:t>
      </w:r>
      <w:r w:rsidRPr="00872318">
        <w:rPr>
          <w:rFonts w:cs="Times New Roman"/>
          <w:sz w:val="22"/>
          <w:szCs w:val="22"/>
        </w:rPr>
        <w:t xml:space="preserve"> (London: Vintage Classics, 1992), p. 123-4.</w:t>
      </w:r>
    </w:p>
  </w:footnote>
  <w:footnote w:id="26">
    <w:p w14:paraId="4DD767FA" w14:textId="77777777" w:rsidR="0009680C" w:rsidRPr="00872318" w:rsidRDefault="0009680C" w:rsidP="0009680C">
      <w:pPr>
        <w:rPr>
          <w:rFonts w:ascii="Times New Roman" w:eastAsia="Times New Roman" w:hAnsi="Times New Roman" w:cs="Times New Roman"/>
          <w:lang w:eastAsia="en-GB"/>
        </w:rPr>
      </w:pPr>
      <w:r w:rsidRPr="00872318">
        <w:rPr>
          <w:rStyle w:val="FootnoteReference"/>
          <w:rFonts w:cs="Times New Roman"/>
        </w:rPr>
        <w:footnoteRef/>
      </w:r>
      <w:r w:rsidRPr="00872318">
        <w:rPr>
          <w:rFonts w:ascii="Times New Roman" w:hAnsi="Times New Roman" w:cs="Times New Roman"/>
        </w:rPr>
        <w:t xml:space="preserve"> </w:t>
      </w:r>
      <w:r w:rsidRPr="00872318">
        <w:rPr>
          <w:rFonts w:ascii="Times New Roman" w:eastAsia="Times New Roman" w:hAnsi="Times New Roman" w:cs="Times New Roman"/>
          <w:color w:val="000000"/>
          <w:shd w:val="clear" w:color="auto" w:fill="FFFFFF"/>
          <w:lang w:eastAsia="en-GB"/>
        </w:rPr>
        <w:t>"David Cronenberg: Secret Jew Or Sell-Out? (Actually, He's Neither.)", </w:t>
      </w:r>
      <w:r w:rsidRPr="00872318">
        <w:rPr>
          <w:rFonts w:ascii="Times New Roman" w:eastAsia="Times New Roman" w:hAnsi="Times New Roman" w:cs="Times New Roman"/>
          <w:i/>
          <w:iCs/>
          <w:color w:val="000000"/>
          <w:lang w:eastAsia="en-GB"/>
        </w:rPr>
        <w:t>Www.Nypress.Com</w:t>
      </w:r>
      <w:r w:rsidRPr="00872318">
        <w:rPr>
          <w:rFonts w:ascii="Times New Roman" w:eastAsia="Times New Roman" w:hAnsi="Times New Roman" w:cs="Times New Roman"/>
          <w:color w:val="000000"/>
          <w:shd w:val="clear" w:color="auto" w:fill="FFFFFF"/>
          <w:lang w:eastAsia="en-GB"/>
        </w:rPr>
        <w:t>, 2014 &lt;http://www.nypress.com/news/david-cronenberg-secret-jew-or-sell-out-actually-hes-neither-FANP1020071010310109971&gt; [Accessed 17 September 2020].</w:t>
      </w:r>
    </w:p>
  </w:footnote>
  <w:footnote w:id="27">
    <w:p w14:paraId="5BBCB943"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David Cronenberg, Serge Grünberg and Claudine Paquot, </w:t>
      </w:r>
      <w:r w:rsidRPr="00872318">
        <w:rPr>
          <w:rFonts w:cs="Times New Roman"/>
          <w:i/>
          <w:iCs/>
          <w:sz w:val="22"/>
          <w:szCs w:val="22"/>
        </w:rPr>
        <w:t>David Cronenberg</w:t>
      </w:r>
      <w:r w:rsidRPr="00872318">
        <w:rPr>
          <w:rFonts w:cs="Times New Roman"/>
          <w:sz w:val="22"/>
          <w:szCs w:val="22"/>
        </w:rPr>
        <w:t xml:space="preserve"> (London: Plexus, 2006), p. 93.</w:t>
      </w:r>
    </w:p>
  </w:footnote>
  <w:footnote w:id="28">
    <w:p w14:paraId="721C1834"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Franz Kafka, </w:t>
      </w:r>
      <w:r w:rsidRPr="00872318">
        <w:rPr>
          <w:rFonts w:cs="Times New Roman"/>
          <w:i/>
          <w:iCs/>
          <w:sz w:val="22"/>
          <w:szCs w:val="22"/>
        </w:rPr>
        <w:t>The Complete Short Stories</w:t>
      </w:r>
      <w:r w:rsidRPr="00872318">
        <w:rPr>
          <w:rFonts w:cs="Times New Roman"/>
          <w:sz w:val="22"/>
          <w:szCs w:val="22"/>
        </w:rPr>
        <w:t xml:space="preserve"> (London: Vintage Classics, 1992), p. 111-2.</w:t>
      </w:r>
    </w:p>
  </w:footnote>
  <w:footnote w:id="29">
    <w:p w14:paraId="3AD96D11"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Maya Barzilai, </w:t>
      </w:r>
      <w:r w:rsidRPr="00872318">
        <w:rPr>
          <w:rFonts w:cs="Times New Roman"/>
          <w:i/>
          <w:iCs/>
          <w:sz w:val="22"/>
          <w:szCs w:val="22"/>
        </w:rPr>
        <w:t>Golem: Modern Wars And Their Monsters</w:t>
      </w:r>
      <w:r w:rsidRPr="00872318">
        <w:rPr>
          <w:rFonts w:cs="Times New Roman"/>
          <w:sz w:val="22"/>
          <w:szCs w:val="22"/>
        </w:rPr>
        <w:t xml:space="preserve"> (New York: New York University Press, 2016).</w:t>
      </w:r>
    </w:p>
  </w:footnote>
  <w:footnote w:id="30">
    <w:p w14:paraId="4239E77D"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Grady Hendrix, "Survival At A Price: Welcome To Bari Wood’s The Tribe", </w:t>
      </w:r>
      <w:r w:rsidRPr="00872318">
        <w:rPr>
          <w:rFonts w:cs="Times New Roman"/>
          <w:i/>
          <w:iCs/>
          <w:sz w:val="22"/>
          <w:szCs w:val="22"/>
        </w:rPr>
        <w:t>Tor.Com</w:t>
      </w:r>
      <w:r w:rsidRPr="00872318">
        <w:rPr>
          <w:rFonts w:cs="Times New Roman"/>
          <w:sz w:val="22"/>
          <w:szCs w:val="22"/>
        </w:rPr>
        <w:t>, 2016 &lt;https://www.tor.com/2016/09/02/freaky-friday-welcome-to-the-tribe/&gt; [Accessed 9 March 2020].</w:t>
      </w:r>
    </w:p>
  </w:footnote>
  <w:footnote w:id="31">
    <w:p w14:paraId="427276BC"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Aaron Kerner, </w:t>
      </w:r>
      <w:r w:rsidRPr="00872318">
        <w:rPr>
          <w:rFonts w:cs="Times New Roman"/>
          <w:i/>
          <w:iCs/>
          <w:sz w:val="22"/>
          <w:szCs w:val="22"/>
        </w:rPr>
        <w:t>Film And The Holocaust: New Perspectives On Dramas, Documentaries, And Experimental Films</w:t>
      </w:r>
      <w:r w:rsidRPr="00872318">
        <w:rPr>
          <w:rFonts w:cs="Times New Roman"/>
          <w:sz w:val="22"/>
          <w:szCs w:val="22"/>
        </w:rPr>
        <w:t xml:space="preserve"> (London: Bloomsbury Publishing, 2011), pp. 155-77.</w:t>
      </w:r>
    </w:p>
  </w:footnote>
  <w:footnote w:id="32">
    <w:p w14:paraId="3C41D959"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Ibid.</w:t>
      </w:r>
    </w:p>
  </w:footnote>
  <w:footnote w:id="33">
    <w:p w14:paraId="453BF70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Georg Wilhelm Friedrich Hegel, "On Christianity Early Theological Writings: Friedrick Hegel", </w:t>
      </w:r>
      <w:r w:rsidRPr="00872318">
        <w:rPr>
          <w:rFonts w:cs="Times New Roman"/>
          <w:i/>
          <w:iCs/>
          <w:sz w:val="22"/>
          <w:szCs w:val="22"/>
        </w:rPr>
        <w:t>Internet Archive</w:t>
      </w:r>
      <w:r w:rsidRPr="00872318">
        <w:rPr>
          <w:rFonts w:cs="Times New Roman"/>
          <w:sz w:val="22"/>
          <w:szCs w:val="22"/>
        </w:rPr>
        <w:t>, 1948 &lt;https://archive.org/details/onchristianityea010999mbp/page/n191/mode/2up&gt; [Accessed 15 September 2020].</w:t>
      </w:r>
    </w:p>
  </w:footnote>
  <w:footnote w:id="34">
    <w:p w14:paraId="287FF31A"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Ibid.</w:t>
      </w:r>
    </w:p>
  </w:footnote>
  <w:footnote w:id="35">
    <w:p w14:paraId="4F9DEB16"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Brian E Crim, </w:t>
      </w:r>
      <w:r w:rsidRPr="00872318">
        <w:rPr>
          <w:rFonts w:cs="Times New Roman"/>
          <w:i/>
          <w:iCs/>
          <w:sz w:val="22"/>
          <w:szCs w:val="22"/>
        </w:rPr>
        <w:t>Planet Auschwitz: Holocaust Representation In Science Fiction And Horror Film And Television</w:t>
      </w:r>
      <w:r w:rsidRPr="00872318">
        <w:rPr>
          <w:rFonts w:cs="Times New Roman"/>
          <w:sz w:val="22"/>
          <w:szCs w:val="22"/>
        </w:rPr>
        <w:t xml:space="preserve"> (Rutgers University Press, 2020), p. New Jersey.</w:t>
      </w:r>
    </w:p>
  </w:footnote>
  <w:footnote w:id="36">
    <w:p w14:paraId="78507F2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Ushi Derman, "The Myth Of The Vampire Jew And Blood Libels | Beit Hatfutsot", </w:t>
      </w:r>
      <w:r w:rsidRPr="00872318">
        <w:rPr>
          <w:rFonts w:cs="Times New Roman"/>
          <w:i/>
          <w:iCs/>
          <w:sz w:val="22"/>
          <w:szCs w:val="22"/>
        </w:rPr>
        <w:t>Beit Hatfutsot</w:t>
      </w:r>
      <w:r w:rsidRPr="00872318">
        <w:rPr>
          <w:rFonts w:cs="Times New Roman"/>
          <w:sz w:val="22"/>
          <w:szCs w:val="22"/>
        </w:rPr>
        <w:t>, 2017 &lt;https://www.bh.org.il/blog-items/myth-vampire-jew-blood-libels/&gt; [Accessed 17 September 2020].</w:t>
      </w:r>
    </w:p>
  </w:footnote>
  <w:footnote w:id="37">
    <w:p w14:paraId="432A3AE1"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Stephen Frosh, </w:t>
      </w:r>
      <w:r w:rsidRPr="00872318">
        <w:rPr>
          <w:rFonts w:cs="Times New Roman"/>
          <w:i/>
          <w:iCs/>
          <w:sz w:val="22"/>
          <w:szCs w:val="22"/>
        </w:rPr>
        <w:t>Hauntings</w:t>
      </w:r>
      <w:r w:rsidRPr="00872318">
        <w:rPr>
          <w:rFonts w:cs="Times New Roman"/>
          <w:sz w:val="22"/>
          <w:szCs w:val="22"/>
        </w:rPr>
        <w:t xml:space="preserve"> (New York: Palgrave Macmillan, 2013).</w:t>
      </w:r>
    </w:p>
  </w:footnote>
  <w:footnote w:id="38">
    <w:p w14:paraId="4621A99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Rebecca Booth, "Between Two Worlds: Regression, Restitution And Soul Transmigration In The Dybbuk (1937) And Demon (2015)", in </w:t>
      </w:r>
      <w:r w:rsidRPr="00872318">
        <w:rPr>
          <w:rFonts w:cs="Times New Roman"/>
          <w:i/>
          <w:iCs/>
          <w:sz w:val="22"/>
          <w:szCs w:val="22"/>
        </w:rPr>
        <w:t>Scared Sacred: Idolatry, Religion And Worship In The Horror Film</w:t>
      </w:r>
      <w:r w:rsidRPr="00872318">
        <w:rPr>
          <w:rFonts w:cs="Times New Roman"/>
          <w:sz w:val="22"/>
          <w:szCs w:val="22"/>
        </w:rPr>
        <w:t xml:space="preserve"> (United Kingdom: House of Leaves, 2020), pp. 133-155.</w:t>
      </w:r>
    </w:p>
  </w:footnote>
  <w:footnote w:id="39">
    <w:p w14:paraId="14732C18"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Ibid.</w:t>
      </w:r>
    </w:p>
  </w:footnote>
  <w:footnote w:id="40">
    <w:p w14:paraId="216F5755"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Rebecca Booth, "Between Two Worlds: Regression, Restitution And Soul Transmigration In The Dybbuk (1937) And Demon (2015)", in </w:t>
      </w:r>
      <w:r w:rsidRPr="00872318">
        <w:rPr>
          <w:rFonts w:cs="Times New Roman"/>
          <w:i/>
          <w:iCs/>
          <w:sz w:val="22"/>
          <w:szCs w:val="22"/>
        </w:rPr>
        <w:t>Scared Sacred: Idolatry, Religion And Worship In The Horror Film</w:t>
      </w:r>
      <w:r w:rsidRPr="00872318">
        <w:rPr>
          <w:rFonts w:cs="Times New Roman"/>
          <w:sz w:val="22"/>
          <w:szCs w:val="22"/>
        </w:rPr>
        <w:t xml:space="preserve"> (United Kingdom: House of Leaves, 2020), pp. 133-155.</w:t>
      </w:r>
    </w:p>
  </w:footnote>
  <w:footnote w:id="41">
    <w:p w14:paraId="47761DB6"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Stephen Frosh, </w:t>
      </w:r>
      <w:r w:rsidRPr="00872318">
        <w:rPr>
          <w:rFonts w:cs="Times New Roman"/>
          <w:i/>
          <w:iCs/>
          <w:sz w:val="22"/>
          <w:szCs w:val="22"/>
        </w:rPr>
        <w:t>Hauntings</w:t>
      </w:r>
      <w:r w:rsidRPr="00872318">
        <w:rPr>
          <w:rFonts w:cs="Times New Roman"/>
          <w:sz w:val="22"/>
          <w:szCs w:val="22"/>
        </w:rPr>
        <w:t xml:space="preserve"> (New York: Palgrave Macmillan, 2013).</w:t>
      </w:r>
    </w:p>
  </w:footnote>
  <w:footnote w:id="42">
    <w:p w14:paraId="195EB40C"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Ibid.</w:t>
      </w:r>
    </w:p>
  </w:footnote>
  <w:footnote w:id="43">
    <w:p w14:paraId="612DFD89" w14:textId="77777777" w:rsidR="0009680C" w:rsidRPr="00872318" w:rsidRDefault="0009680C" w:rsidP="0009680C">
      <w:pPr>
        <w:rPr>
          <w:rFonts w:ascii="Times New Roman" w:eastAsia="Times New Roman" w:hAnsi="Times New Roman" w:cs="Times New Roman"/>
          <w:lang w:eastAsia="en-GB"/>
        </w:rPr>
      </w:pPr>
      <w:r w:rsidRPr="00872318">
        <w:rPr>
          <w:rStyle w:val="FootnoteReference"/>
          <w:rFonts w:cs="Times New Roman"/>
        </w:rPr>
        <w:footnoteRef/>
      </w:r>
      <w:r w:rsidRPr="00872318">
        <w:rPr>
          <w:rFonts w:ascii="Times New Roman" w:hAnsi="Times New Roman" w:cs="Times New Roman"/>
        </w:rPr>
        <w:t xml:space="preserve"> </w:t>
      </w:r>
      <w:r w:rsidRPr="00872318">
        <w:rPr>
          <w:rFonts w:ascii="Times New Roman" w:eastAsia="Times New Roman" w:hAnsi="Times New Roman" w:cs="Times New Roman"/>
          <w:color w:val="000000"/>
          <w:shd w:val="clear" w:color="auto" w:fill="FFFFFF"/>
          <w:lang w:eastAsia="en-GB"/>
        </w:rPr>
        <w:t>Rebecca Wynne-Walsh, "'There's No Place Like Home': Marcin Wrona's Demon (2015) And The Search For Belonging, Self-Definition And Heritage Amongst Conflicting Post-Communist Polish Conceptions Of Identity, Memory And History", in </w:t>
      </w:r>
      <w:r w:rsidRPr="00872318">
        <w:rPr>
          <w:rFonts w:ascii="Times New Roman" w:eastAsia="Times New Roman" w:hAnsi="Times New Roman" w:cs="Times New Roman"/>
          <w:i/>
          <w:iCs/>
          <w:color w:val="000000"/>
          <w:lang w:eastAsia="en-GB"/>
        </w:rPr>
        <w:t>International Conference On Film Studies: '(De)Constructing Narrative Identities'</w:t>
      </w:r>
      <w:r w:rsidRPr="00872318">
        <w:rPr>
          <w:rFonts w:ascii="Times New Roman" w:eastAsia="Times New Roman" w:hAnsi="Times New Roman" w:cs="Times New Roman"/>
          <w:color w:val="000000"/>
          <w:shd w:val="clear" w:color="auto" w:fill="FFFFFF"/>
          <w:lang w:eastAsia="en-GB"/>
        </w:rPr>
        <w:t>, 2020.</w:t>
      </w:r>
    </w:p>
  </w:footnote>
  <w:footnote w:id="44">
    <w:p w14:paraId="3C644E0E"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Rebecca Booth, "Between Two Worlds: Regression, Restitution And Soul Transmigration In The Dybbuk (1937) And Demon (2015)", in </w:t>
      </w:r>
      <w:r w:rsidRPr="00872318">
        <w:rPr>
          <w:rFonts w:cs="Times New Roman"/>
          <w:i/>
          <w:iCs/>
          <w:sz w:val="22"/>
          <w:szCs w:val="22"/>
        </w:rPr>
        <w:t>Scared Sacred: Idolatry, Religion And Worship In The Horror Film</w:t>
      </w:r>
      <w:r w:rsidRPr="00872318">
        <w:rPr>
          <w:rFonts w:cs="Times New Roman"/>
          <w:sz w:val="22"/>
          <w:szCs w:val="22"/>
        </w:rPr>
        <w:t xml:space="preserve"> (United Kingdom: House of Leaves, 2020), pp. 133-155.</w:t>
      </w:r>
    </w:p>
  </w:footnote>
  <w:footnote w:id="45">
    <w:p w14:paraId="6F134E64"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Mikel Koven, "Golems, Dybbuks And Other Movie Monsters: The Search For A Jewish Horror Film", </w:t>
      </w:r>
      <w:r w:rsidRPr="00872318">
        <w:rPr>
          <w:rFonts w:cs="Times New Roman"/>
          <w:i/>
          <w:iCs/>
          <w:sz w:val="22"/>
          <w:szCs w:val="22"/>
        </w:rPr>
        <w:t>From The Mind Of Mikel</w:t>
      </w:r>
      <w:r w:rsidRPr="00872318">
        <w:rPr>
          <w:rFonts w:cs="Times New Roman"/>
          <w:sz w:val="22"/>
          <w:szCs w:val="22"/>
        </w:rPr>
        <w:t>, 2013 &lt;https://fromthemindofmikel.wordpress.com/2013/07/02/golems-dybbuks-and-other-movie-monsters-the-search-for-a-jewish-horror-film/&gt; [Accessed 14 June 2020].</w:t>
      </w:r>
    </w:p>
  </w:footnote>
  <w:footnote w:id="46">
    <w:p w14:paraId="52B35454"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Mikel Koven, "Golems, Dybbuks, &amp; Other Movie Monsters", 2020.</w:t>
      </w:r>
    </w:p>
  </w:footnote>
  <w:footnote w:id="47">
    <w:p w14:paraId="44B6FA0D"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Mikel Koven, "Golems, Dybbuks And Other Movie Monsters: The Search For A Jewish Horror Film", </w:t>
      </w:r>
      <w:r w:rsidRPr="00872318">
        <w:rPr>
          <w:rFonts w:cs="Times New Roman"/>
          <w:i/>
          <w:iCs/>
          <w:sz w:val="22"/>
          <w:szCs w:val="22"/>
        </w:rPr>
        <w:t>From The Mind Of Mikel</w:t>
      </w:r>
      <w:r w:rsidRPr="00872318">
        <w:rPr>
          <w:rFonts w:cs="Times New Roman"/>
          <w:sz w:val="22"/>
          <w:szCs w:val="22"/>
        </w:rPr>
        <w:t>, 2013 &lt;https://fromthemindofmikel.wordpress.com/2013/07/02/golems-dybbuks-and-other-movie-monsters-the-search-for-a-jewish-horror-film/&gt; [Accessed 14 June 2020].</w:t>
      </w:r>
    </w:p>
  </w:footnote>
  <w:footnote w:id="48">
    <w:p w14:paraId="3AA38EE7"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Ibid.</w:t>
      </w:r>
    </w:p>
  </w:footnote>
  <w:footnote w:id="49">
    <w:p w14:paraId="2FAE0704"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Judith Butler, </w:t>
      </w:r>
      <w:r w:rsidRPr="00872318">
        <w:rPr>
          <w:rFonts w:cs="Times New Roman"/>
          <w:i/>
          <w:iCs/>
          <w:sz w:val="22"/>
          <w:szCs w:val="22"/>
        </w:rPr>
        <w:t>Gender Trouble: Feminism And The Subversion Of Identity</w:t>
      </w:r>
      <w:r w:rsidRPr="00872318">
        <w:rPr>
          <w:rFonts w:cs="Times New Roman"/>
          <w:sz w:val="22"/>
          <w:szCs w:val="22"/>
        </w:rPr>
        <w:t xml:space="preserve"> (New York: Routledge, 1990), pp. 128-42.</w:t>
      </w:r>
    </w:p>
  </w:footnote>
  <w:footnote w:id="50">
    <w:p w14:paraId="424FE8CA"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Jennie Livingstone, </w:t>
      </w:r>
      <w:r w:rsidRPr="00872318">
        <w:rPr>
          <w:rFonts w:cs="Times New Roman"/>
          <w:i/>
          <w:iCs/>
          <w:sz w:val="22"/>
          <w:szCs w:val="22"/>
        </w:rPr>
        <w:t>Paris Is Burning</w:t>
      </w:r>
      <w:r w:rsidRPr="00872318">
        <w:rPr>
          <w:rFonts w:cs="Times New Roman"/>
          <w:sz w:val="22"/>
          <w:szCs w:val="22"/>
        </w:rPr>
        <w:t xml:space="preserve"> (Off-White Productions, 1990).</w:t>
      </w:r>
    </w:p>
  </w:footnote>
  <w:footnote w:id="51">
    <w:p w14:paraId="0EA25A0A"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Mikel Koven, "Golems, Dybbuks, &amp; Other Movie Monsters", 2020.</w:t>
      </w:r>
    </w:p>
  </w:footnote>
  <w:footnote w:id="52">
    <w:p w14:paraId="0564DE25"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 xml:space="preserve"> </w:t>
      </w:r>
      <w:r w:rsidRPr="00872318">
        <w:rPr>
          <w:rFonts w:cs="Times New Roman"/>
          <w:sz w:val="22"/>
          <w:szCs w:val="22"/>
        </w:rPr>
        <w:t xml:space="preserve">Rosemary Counter, "The Most Cursed Hit Movie Ever Made", </w:t>
      </w:r>
      <w:r w:rsidRPr="00872318">
        <w:rPr>
          <w:rFonts w:cs="Times New Roman"/>
          <w:i/>
          <w:iCs/>
          <w:sz w:val="22"/>
          <w:szCs w:val="22"/>
        </w:rPr>
        <w:t>Vanity Fair</w:t>
      </w:r>
      <w:r w:rsidRPr="00872318">
        <w:rPr>
          <w:rFonts w:cs="Times New Roman"/>
          <w:sz w:val="22"/>
          <w:szCs w:val="22"/>
        </w:rPr>
        <w:t>, 2017 &lt;https://www.vanityfair.com/hollywood/2017/06/the-most-cursed-hit-movie-ever-made-rosemarys-baby&gt; [Accessed 15 September 2020].</w:t>
      </w:r>
    </w:p>
  </w:footnote>
  <w:footnote w:id="53">
    <w:p w14:paraId="09AAE0E0"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Ira Levin and Chuck Palahniuk, </w:t>
      </w:r>
      <w:r w:rsidRPr="00872318">
        <w:rPr>
          <w:rFonts w:cs="Times New Roman"/>
          <w:i/>
          <w:iCs/>
          <w:sz w:val="22"/>
          <w:szCs w:val="22"/>
        </w:rPr>
        <w:t>Rosemary's Baby</w:t>
      </w:r>
      <w:r w:rsidRPr="00872318">
        <w:rPr>
          <w:rFonts w:cs="Times New Roman"/>
          <w:sz w:val="22"/>
          <w:szCs w:val="22"/>
        </w:rPr>
        <w:t>, 2nd edn (Plymouth: Corsair, 2011), p. 51.</w:t>
      </w:r>
    </w:p>
  </w:footnote>
  <w:footnote w:id="54">
    <w:p w14:paraId="7B81A406"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Ibid, p. vii-x.</w:t>
      </w:r>
    </w:p>
  </w:footnote>
  <w:footnote w:id="55">
    <w:p w14:paraId="377E724A"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Ira Levin and Chuck Palahniuk, </w:t>
      </w:r>
      <w:r w:rsidRPr="00872318">
        <w:rPr>
          <w:rFonts w:cs="Times New Roman"/>
          <w:i/>
          <w:iCs/>
          <w:sz w:val="22"/>
          <w:szCs w:val="22"/>
        </w:rPr>
        <w:t>Rosemary's Baby</w:t>
      </w:r>
      <w:r w:rsidRPr="00872318">
        <w:rPr>
          <w:rFonts w:cs="Times New Roman"/>
          <w:sz w:val="22"/>
          <w:szCs w:val="22"/>
        </w:rPr>
        <w:t>, 2nd edn (Plymouth: Corsair, 2011), pp. 100-01.</w:t>
      </w:r>
    </w:p>
  </w:footnote>
  <w:footnote w:id="56">
    <w:p w14:paraId="08F3615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Ibid, p. 109.</w:t>
      </w:r>
    </w:p>
  </w:footnote>
  <w:footnote w:id="57">
    <w:p w14:paraId="7BE9317F"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Ibid, p. 50.</w:t>
      </w:r>
    </w:p>
  </w:footnote>
  <w:footnote w:id="58">
    <w:p w14:paraId="3C1CC38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Ibid, p. 43.</w:t>
      </w:r>
    </w:p>
  </w:footnote>
  <w:footnote w:id="59">
    <w:p w14:paraId="36851B2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Ibid, p. 102.</w:t>
      </w:r>
    </w:p>
  </w:footnote>
  <w:footnote w:id="60">
    <w:p w14:paraId="2B6EB714"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Ira Levin and Chuck Palahniuk, </w:t>
      </w:r>
      <w:r w:rsidRPr="00872318">
        <w:rPr>
          <w:rFonts w:cs="Times New Roman"/>
          <w:i/>
          <w:iCs/>
          <w:sz w:val="22"/>
          <w:szCs w:val="22"/>
        </w:rPr>
        <w:t>Rosemary's Baby</w:t>
      </w:r>
      <w:r w:rsidRPr="00872318">
        <w:rPr>
          <w:rFonts w:cs="Times New Roman"/>
          <w:sz w:val="22"/>
          <w:szCs w:val="22"/>
        </w:rPr>
        <w:t>, 2nd edn (Plymouth: Corsair, 2011), p. 167.</w:t>
      </w:r>
    </w:p>
  </w:footnote>
  <w:footnote w:id="61">
    <w:p w14:paraId="517237EE"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w:t>
      </w:r>
      <w:r w:rsidRPr="00872318">
        <w:rPr>
          <w:rFonts w:cs="Times New Roman"/>
          <w:sz w:val="22"/>
          <w:szCs w:val="22"/>
          <w:lang w:val="en-US"/>
        </w:rPr>
        <w:t>Ibid, p. 165.</w:t>
      </w:r>
    </w:p>
  </w:footnote>
  <w:footnote w:id="62">
    <w:p w14:paraId="25D8921C"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Ira Levin and Chuck Palahniuk, </w:t>
      </w:r>
      <w:r w:rsidRPr="00872318">
        <w:rPr>
          <w:rFonts w:cs="Times New Roman"/>
          <w:i/>
          <w:iCs/>
          <w:sz w:val="22"/>
          <w:szCs w:val="22"/>
        </w:rPr>
        <w:t>Rosemary's Baby</w:t>
      </w:r>
      <w:r w:rsidRPr="00872318">
        <w:rPr>
          <w:rFonts w:cs="Times New Roman"/>
          <w:sz w:val="22"/>
          <w:szCs w:val="22"/>
        </w:rPr>
        <w:t>, 2nd edn (Plymouth: Corsair, 2011), p. 131.</w:t>
      </w:r>
    </w:p>
  </w:footnote>
  <w:footnote w:id="63">
    <w:p w14:paraId="0069FE30"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Ibid, p. 110</w:t>
      </w:r>
    </w:p>
  </w:footnote>
  <w:footnote w:id="64">
    <w:p w14:paraId="7D492BE2"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Ira Levin and Chuck Palahniuk, </w:t>
      </w:r>
      <w:r w:rsidRPr="00872318">
        <w:rPr>
          <w:rFonts w:cs="Times New Roman"/>
          <w:i/>
          <w:iCs/>
          <w:sz w:val="22"/>
          <w:szCs w:val="22"/>
        </w:rPr>
        <w:t>Rosemary's Baby</w:t>
      </w:r>
      <w:r w:rsidRPr="00872318">
        <w:rPr>
          <w:rFonts w:cs="Times New Roman"/>
          <w:sz w:val="22"/>
          <w:szCs w:val="22"/>
        </w:rPr>
        <w:t>, 2nd edn (Plymouth: Corsair, 2011), p. 40.</w:t>
      </w:r>
    </w:p>
  </w:footnote>
  <w:footnote w:id="65">
    <w:p w14:paraId="7B2582FF"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Ira Levin and Chuck Palahniuk, </w:t>
      </w:r>
      <w:r w:rsidRPr="00872318">
        <w:rPr>
          <w:rFonts w:cs="Times New Roman"/>
          <w:i/>
          <w:iCs/>
          <w:sz w:val="22"/>
          <w:szCs w:val="22"/>
        </w:rPr>
        <w:t>Rosemary's Baby</w:t>
      </w:r>
      <w:r w:rsidRPr="00872318">
        <w:rPr>
          <w:rFonts w:cs="Times New Roman"/>
          <w:sz w:val="22"/>
          <w:szCs w:val="22"/>
        </w:rPr>
        <w:t>, 2nd edn (Plymouth: Corsair, 2011), pp.</w:t>
      </w:r>
      <w:r w:rsidRPr="00872318">
        <w:rPr>
          <w:rFonts w:cs="Times New Roman"/>
          <w:sz w:val="22"/>
          <w:szCs w:val="22"/>
          <w:lang w:val="en-US"/>
        </w:rPr>
        <w:t xml:space="preserve"> 165-6.</w:t>
      </w:r>
    </w:p>
  </w:footnote>
  <w:footnote w:id="66">
    <w:p w14:paraId="691F6FA3"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Ira Levin and Chuck Palahniuk, </w:t>
      </w:r>
      <w:r w:rsidRPr="00872318">
        <w:rPr>
          <w:rFonts w:cs="Times New Roman"/>
          <w:i/>
          <w:iCs/>
          <w:sz w:val="22"/>
          <w:szCs w:val="22"/>
        </w:rPr>
        <w:t>Rosemary's Baby</w:t>
      </w:r>
      <w:r w:rsidRPr="00872318">
        <w:rPr>
          <w:rFonts w:cs="Times New Roman"/>
          <w:sz w:val="22"/>
          <w:szCs w:val="22"/>
        </w:rPr>
        <w:t>, 2nd edn (Plymouth: Corsair, 2011), p.</w:t>
      </w:r>
      <w:r w:rsidRPr="00872318">
        <w:rPr>
          <w:rFonts w:cs="Times New Roman"/>
          <w:sz w:val="22"/>
          <w:szCs w:val="22"/>
          <w:lang w:val="en-US"/>
        </w:rPr>
        <w:t xml:space="preserve"> 28.</w:t>
      </w:r>
    </w:p>
  </w:footnote>
  <w:footnote w:id="67">
    <w:p w14:paraId="760ABBEB"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Ari Aster, </w:t>
      </w:r>
      <w:r w:rsidRPr="00872318">
        <w:rPr>
          <w:rFonts w:cs="Times New Roman"/>
          <w:i/>
          <w:iCs/>
          <w:sz w:val="22"/>
          <w:szCs w:val="22"/>
        </w:rPr>
        <w:t>Hereditary</w:t>
      </w:r>
      <w:r w:rsidRPr="00872318">
        <w:rPr>
          <w:rFonts w:cs="Times New Roman"/>
          <w:sz w:val="22"/>
          <w:szCs w:val="22"/>
        </w:rPr>
        <w:t xml:space="preserve"> (A24, 2018).</w:t>
      </w:r>
    </w:p>
  </w:footnote>
  <w:footnote w:id="68">
    <w:p w14:paraId="14D8224E"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Tony Sokol, "Hereditary: The Real Story Of King Paimon | Den Of Geek", </w:t>
      </w:r>
      <w:r w:rsidRPr="00872318">
        <w:rPr>
          <w:rFonts w:cs="Times New Roman"/>
          <w:i/>
          <w:iCs/>
          <w:sz w:val="22"/>
          <w:szCs w:val="22"/>
        </w:rPr>
        <w:t>Den Of Geek</w:t>
      </w:r>
      <w:r w:rsidRPr="00872318">
        <w:rPr>
          <w:rFonts w:cs="Times New Roman"/>
          <w:sz w:val="22"/>
          <w:szCs w:val="22"/>
        </w:rPr>
        <w:t>, 2018 &lt;https://www.denofgeek.com/movies/hereditary-the-real-story-of-king-paimon/&gt; [Accessed 17 September 2020].</w:t>
      </w:r>
    </w:p>
  </w:footnote>
  <w:footnote w:id="69">
    <w:p w14:paraId="42A8CE99" w14:textId="77777777" w:rsidR="0009680C" w:rsidRPr="00872318" w:rsidRDefault="0009680C" w:rsidP="0009680C">
      <w:pPr>
        <w:rPr>
          <w:rFonts w:ascii="Times New Roman" w:eastAsia="Times New Roman" w:hAnsi="Times New Roman" w:cs="Times New Roman"/>
          <w:lang w:eastAsia="en-GB"/>
        </w:rPr>
      </w:pPr>
      <w:r w:rsidRPr="00872318">
        <w:rPr>
          <w:rStyle w:val="FootnoteReference"/>
          <w:rFonts w:cs="Times New Roman"/>
        </w:rPr>
        <w:footnoteRef/>
      </w:r>
      <w:r w:rsidRPr="00872318">
        <w:rPr>
          <w:rFonts w:ascii="Times New Roman" w:hAnsi="Times New Roman" w:cs="Times New Roman"/>
        </w:rPr>
        <w:t xml:space="preserve"> </w:t>
      </w:r>
      <w:r w:rsidRPr="00872318">
        <w:rPr>
          <w:rFonts w:ascii="Times New Roman" w:eastAsia="Times New Roman" w:hAnsi="Times New Roman" w:cs="Times New Roman"/>
          <w:color w:val="000000"/>
          <w:shd w:val="clear" w:color="auto" w:fill="FFFFFF"/>
          <w:lang w:eastAsia="en-GB"/>
        </w:rPr>
        <w:t>Michael Haneke, </w:t>
      </w:r>
      <w:r w:rsidRPr="00872318">
        <w:rPr>
          <w:rFonts w:ascii="Times New Roman" w:eastAsia="Times New Roman" w:hAnsi="Times New Roman" w:cs="Times New Roman"/>
          <w:i/>
          <w:iCs/>
          <w:color w:val="000000"/>
          <w:lang w:eastAsia="en-GB"/>
        </w:rPr>
        <w:t>The White Ribbon</w:t>
      </w:r>
      <w:r w:rsidRPr="00872318">
        <w:rPr>
          <w:rFonts w:ascii="Times New Roman" w:eastAsia="Times New Roman" w:hAnsi="Times New Roman" w:cs="Times New Roman"/>
          <w:color w:val="000000"/>
          <w:shd w:val="clear" w:color="auto" w:fill="FFFFFF"/>
          <w:lang w:eastAsia="en-GB"/>
        </w:rPr>
        <w:t> (Wega Film, 2009).</w:t>
      </w:r>
    </w:p>
  </w:footnote>
  <w:footnote w:id="70">
    <w:p w14:paraId="610A8943"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Sam Raimi, </w:t>
      </w:r>
      <w:r w:rsidRPr="00872318">
        <w:rPr>
          <w:rFonts w:cs="Times New Roman"/>
          <w:i/>
          <w:iCs/>
          <w:sz w:val="22"/>
          <w:szCs w:val="22"/>
        </w:rPr>
        <w:t>Drag Me To Hell</w:t>
      </w:r>
      <w:r w:rsidRPr="00872318">
        <w:rPr>
          <w:rFonts w:cs="Times New Roman"/>
          <w:sz w:val="22"/>
          <w:szCs w:val="22"/>
        </w:rPr>
        <w:t xml:space="preserve"> (Ghost House Pictures, 2009).</w:t>
      </w:r>
    </w:p>
  </w:footnote>
  <w:footnote w:id="71">
    <w:p w14:paraId="6C40CCB1"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Sam Raimi, </w:t>
      </w:r>
      <w:r w:rsidRPr="00872318">
        <w:rPr>
          <w:rFonts w:cs="Times New Roman"/>
          <w:i/>
          <w:iCs/>
          <w:sz w:val="22"/>
          <w:szCs w:val="22"/>
        </w:rPr>
        <w:t>The Evil Dead</w:t>
      </w:r>
      <w:r w:rsidRPr="00872318">
        <w:rPr>
          <w:rFonts w:cs="Times New Roman"/>
          <w:sz w:val="22"/>
          <w:szCs w:val="22"/>
        </w:rPr>
        <w:t xml:space="preserve"> (Renaissance Pictures, 1981).</w:t>
      </w:r>
    </w:p>
  </w:footnote>
  <w:footnote w:id="72">
    <w:p w14:paraId="0CF99E16" w14:textId="77777777" w:rsidR="0009680C" w:rsidRPr="00872318" w:rsidRDefault="0009680C" w:rsidP="0009680C">
      <w:pPr>
        <w:pStyle w:val="FootnoteText"/>
        <w:rPr>
          <w:rFonts w:cs="Times New Roman"/>
          <w:sz w:val="22"/>
          <w:szCs w:val="22"/>
          <w:lang w:val="en-US"/>
        </w:rPr>
      </w:pPr>
      <w:r w:rsidRPr="00872318">
        <w:rPr>
          <w:rStyle w:val="FootnoteReference"/>
          <w:rFonts w:cs="Times New Roman"/>
          <w:sz w:val="22"/>
          <w:szCs w:val="22"/>
        </w:rPr>
        <w:footnoteRef/>
      </w:r>
      <w:r w:rsidRPr="00872318">
        <w:rPr>
          <w:rFonts w:cs="Times New Roman"/>
          <w:sz w:val="22"/>
          <w:szCs w:val="22"/>
        </w:rPr>
        <w:t xml:space="preserve"> Lester Friedman, ""Canyons Of Nightmare": The Jewish Horror Film", in </w:t>
      </w:r>
      <w:r w:rsidRPr="00872318">
        <w:rPr>
          <w:rFonts w:cs="Times New Roman"/>
          <w:i/>
          <w:iCs/>
          <w:sz w:val="22"/>
          <w:szCs w:val="22"/>
        </w:rPr>
        <w:t>Planks Of Reason: Essays On The Horror Film</w:t>
      </w:r>
      <w:r w:rsidRPr="00872318">
        <w:rPr>
          <w:rFonts w:cs="Times New Roman"/>
          <w:sz w:val="22"/>
          <w:szCs w:val="22"/>
        </w:rPr>
        <w:t xml:space="preserve"> (Lanham, Maryland: The Scarecrow Press, Inc., 1984), pp. 82-106.</w:t>
      </w:r>
    </w:p>
  </w:footnote>
  <w:footnote w:id="73">
    <w:p w14:paraId="5F32682A" w14:textId="77777777" w:rsidR="0009680C" w:rsidRPr="00C5672A" w:rsidRDefault="0009680C" w:rsidP="0009680C">
      <w:pPr>
        <w:pStyle w:val="FootnoteText"/>
        <w:rPr>
          <w:lang w:val="en-US"/>
        </w:rPr>
      </w:pPr>
      <w:r w:rsidRPr="00872318">
        <w:rPr>
          <w:rStyle w:val="FootnoteReference"/>
          <w:rFonts w:cs="Times New Roman"/>
          <w:sz w:val="22"/>
          <w:szCs w:val="22"/>
        </w:rPr>
        <w:footnoteRef/>
      </w:r>
      <w:r w:rsidRPr="00872318">
        <w:rPr>
          <w:rFonts w:cs="Times New Roman"/>
          <w:sz w:val="22"/>
          <w:szCs w:val="22"/>
        </w:rPr>
        <w:t xml:space="preserve"> Ed Simon, "Jewish Horror, Monotheism, And The Origins Of Evil", </w:t>
      </w:r>
      <w:r w:rsidRPr="00872318">
        <w:rPr>
          <w:rFonts w:cs="Times New Roman"/>
          <w:i/>
          <w:iCs/>
          <w:sz w:val="22"/>
          <w:szCs w:val="22"/>
        </w:rPr>
        <w:t>Tablet Magazine</w:t>
      </w:r>
      <w:r w:rsidRPr="00872318">
        <w:rPr>
          <w:rFonts w:cs="Times New Roman"/>
          <w:sz w:val="22"/>
          <w:szCs w:val="22"/>
        </w:rPr>
        <w:t>, 2019 &lt;https://www.tabletmag.com/sections/arts-letters/articles/jewish-horror&gt; [Accessed 15 September 2020].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80C"/>
    <w:rsid w:val="00062519"/>
    <w:rsid w:val="0009680C"/>
    <w:rsid w:val="00113DDF"/>
    <w:rsid w:val="00174B81"/>
    <w:rsid w:val="00236C4D"/>
    <w:rsid w:val="00337486"/>
    <w:rsid w:val="004C2364"/>
    <w:rsid w:val="00642857"/>
    <w:rsid w:val="009C2A16"/>
    <w:rsid w:val="00A63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7A6A17F"/>
  <w15:chartTrackingRefBased/>
  <w15:docId w15:val="{DEF973C8-573F-5448-A1E3-F0803019D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680C"/>
    <w:pPr>
      <w:spacing w:after="160" w:line="259" w:lineRule="auto"/>
    </w:pPr>
    <w:rPr>
      <w:rFonts w:eastAsiaTheme="minorEastAsia"/>
      <w:sz w:val="22"/>
      <w:szCs w:val="22"/>
      <w:lang w:eastAsia="zh-CN"/>
    </w:rPr>
  </w:style>
  <w:style w:type="paragraph" w:styleId="Heading1">
    <w:name w:val="heading 1"/>
    <w:basedOn w:val="Normal"/>
    <w:next w:val="Normal"/>
    <w:link w:val="Heading1Char"/>
    <w:uiPriority w:val="9"/>
    <w:qFormat/>
    <w:rsid w:val="0009680C"/>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09680C"/>
    <w:pPr>
      <w:keepNext/>
      <w:keepLines/>
      <w:spacing w:before="40" w:after="0" w:line="240" w:lineRule="auto"/>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680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09680C"/>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semiHidden/>
    <w:unhideWhenUsed/>
    <w:rsid w:val="0009680C"/>
    <w:pPr>
      <w:spacing w:after="0" w:line="240" w:lineRule="auto"/>
    </w:pPr>
    <w:rPr>
      <w:rFonts w:ascii="Times New Roman" w:hAnsi="Times New Roman"/>
      <w:sz w:val="20"/>
      <w:szCs w:val="20"/>
    </w:rPr>
  </w:style>
  <w:style w:type="character" w:customStyle="1" w:styleId="FootnoteTextChar">
    <w:name w:val="Footnote Text Char"/>
    <w:basedOn w:val="DefaultParagraphFont"/>
    <w:link w:val="FootnoteText"/>
    <w:uiPriority w:val="99"/>
    <w:semiHidden/>
    <w:rsid w:val="0009680C"/>
    <w:rPr>
      <w:rFonts w:ascii="Times New Roman" w:eastAsiaTheme="minorEastAsia" w:hAnsi="Times New Roman"/>
      <w:sz w:val="20"/>
      <w:szCs w:val="20"/>
      <w:lang w:eastAsia="zh-CN"/>
    </w:rPr>
  </w:style>
  <w:style w:type="character" w:styleId="FootnoteReference">
    <w:name w:val="footnote reference"/>
    <w:basedOn w:val="DefaultParagraphFont"/>
    <w:uiPriority w:val="99"/>
    <w:unhideWhenUsed/>
    <w:rsid w:val="0009680C"/>
    <w:rPr>
      <w:rFonts w:ascii="Times New Roman" w:hAnsi="Times New Roman"/>
      <w:sz w:val="16"/>
      <w:vertAlign w:val="superscript"/>
    </w:rPr>
  </w:style>
  <w:style w:type="character" w:styleId="Hyperlink">
    <w:name w:val="Hyperlink"/>
    <w:uiPriority w:val="99"/>
    <w:rsid w:val="0009680C"/>
    <w:rPr>
      <w:color w:val="0000FF"/>
      <w:u w:val="single"/>
    </w:rPr>
  </w:style>
  <w:style w:type="character" w:styleId="CommentReference">
    <w:name w:val="annotation reference"/>
    <w:basedOn w:val="DefaultParagraphFont"/>
    <w:uiPriority w:val="99"/>
    <w:semiHidden/>
    <w:unhideWhenUsed/>
    <w:rsid w:val="0009680C"/>
    <w:rPr>
      <w:sz w:val="16"/>
      <w:szCs w:val="16"/>
    </w:rPr>
  </w:style>
  <w:style w:type="paragraph" w:styleId="TOCHeading">
    <w:name w:val="TOC Heading"/>
    <w:basedOn w:val="Heading1"/>
    <w:next w:val="Normal"/>
    <w:uiPriority w:val="39"/>
    <w:unhideWhenUsed/>
    <w:qFormat/>
    <w:rsid w:val="0009680C"/>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09680C"/>
    <w:pPr>
      <w:tabs>
        <w:tab w:val="right" w:leader="dot" w:pos="9016"/>
      </w:tabs>
      <w:spacing w:before="360" w:after="360" w:line="240" w:lineRule="auto"/>
    </w:pPr>
    <w:rPr>
      <w:rFonts w:eastAsiaTheme="minorHAnsi" w:cstheme="minorHAnsi"/>
      <w:b/>
      <w:bCs/>
      <w:caps/>
      <w:u w:val="single"/>
      <w:lang w:eastAsia="en-US"/>
    </w:rPr>
  </w:style>
  <w:style w:type="paragraph" w:styleId="TOC2">
    <w:name w:val="toc 2"/>
    <w:basedOn w:val="Normal"/>
    <w:next w:val="Normal"/>
    <w:autoRedefine/>
    <w:uiPriority w:val="39"/>
    <w:unhideWhenUsed/>
    <w:rsid w:val="0009680C"/>
    <w:pPr>
      <w:spacing w:after="0" w:line="240" w:lineRule="auto"/>
    </w:pPr>
    <w:rPr>
      <w:rFonts w:eastAsiaTheme="minorHAnsi" w:cstheme="minorHAnsi"/>
      <w:b/>
      <w:bCs/>
      <w:smallCap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54</Pages>
  <Words>15467</Words>
  <Characters>88162</Characters>
  <Application>Microsoft Office Word</Application>
  <DocSecurity>0</DocSecurity>
  <Lines>734</Lines>
  <Paragraphs>206</Paragraphs>
  <ScaleCrop>false</ScaleCrop>
  <Company/>
  <LinksUpToDate>false</LinksUpToDate>
  <CharactersWithSpaces>103423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Adams</dc:creator>
  <cp:keywords/>
  <dc:description/>
  <cp:lastModifiedBy>Molly Adams</cp:lastModifiedBy>
  <cp:revision>1</cp:revision>
  <dcterms:created xsi:type="dcterms:W3CDTF">2022-05-29T22:03:00Z</dcterms:created>
  <dcterms:modified xsi:type="dcterms:W3CDTF">2022-05-29T22:03:00Z</dcterms:modified>
</cp:coreProperties>
</file>